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600" w:lineRule="exact"/>
        <w:jc w:val="center"/>
      </w:pPr>
      <w:r>
        <w:rPr>
          <w:rFonts w:hint="eastAsia" w:ascii="方正小标宋简体" w:hAnsi="方正小标宋简体" w:eastAsia="方正小标宋简体" w:cs="方正小标宋简体"/>
          <w:sz w:val="36"/>
          <w:szCs w:val="36"/>
        </w:rPr>
        <w:t>浙江中南建设集团钢结构有限公司“1.9”</w:t>
      </w:r>
    </w:p>
    <w:p>
      <w:pPr>
        <w:snapToGrid w:val="0"/>
        <w:spacing w:line="600" w:lineRule="exact"/>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起重伤害死亡事故调查报告</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2022年1月9日15时20分左右，浦东新区扬帆路汇港路路口洋山全球数字贸易综合配套服务基地项目工地发生一起起重伤害事故，造成一人死亡。</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接到事故报告后，根据《中华人民共和国安全生产法》和《生产安全事故报告和调查处理条例》（国务院令第493号）等相关法律法规的要求，以及浦东新区人民政府的授权，由浦东新区应急管理局（以下简称：区应急管理局）牵头，会同上海市公安局边防和港航公安分局、浦东新区建设和交通委员会、浦东新区总工会、中国（上海）自由贸易试验区临港新片区管理委员会，并邀请浦东新区监察委员会、临港新片区城市建设交通运输事务中心组成调查组。调查组通过现场勘查、调查取证、综合分析等，查明了事故发生的原因，认定了事故的性质，提出了对有关责任人员、责任单位的处理建议和防范措施。现将情况报告如下：</w:t>
      </w:r>
    </w:p>
    <w:p>
      <w:pPr>
        <w:pStyle w:val="2"/>
        <w:spacing w:before="0" w:after="0" w:line="600" w:lineRule="exact"/>
        <w:ind w:firstLine="600" w:firstLineChars="200"/>
        <w:rPr>
          <w:rFonts w:ascii="黑体" w:eastAsia="黑体"/>
          <w:b w:val="0"/>
          <w:color w:val="000000"/>
          <w:sz w:val="32"/>
          <w:szCs w:val="32"/>
        </w:rPr>
      </w:pPr>
      <w:r>
        <w:rPr>
          <w:rFonts w:hint="eastAsia" w:ascii="黑体" w:hAnsi="黑体" w:eastAsia="黑体"/>
          <w:b w:val="0"/>
          <w:sz w:val="30"/>
          <w:szCs w:val="30"/>
        </w:rPr>
        <w:t>一、基本情况</w:t>
      </w:r>
    </w:p>
    <w:p>
      <w:pPr>
        <w:pStyle w:val="2"/>
        <w:spacing w:before="0" w:after="0" w:line="600" w:lineRule="exact"/>
        <w:ind w:firstLine="600" w:firstLineChars="200"/>
        <w:rPr>
          <w:rFonts w:ascii="楷体_GB2312" w:eastAsia="楷体_GB2312"/>
          <w:b w:val="0"/>
          <w:sz w:val="30"/>
          <w:szCs w:val="30"/>
        </w:rPr>
      </w:pPr>
      <w:r>
        <w:rPr>
          <w:rFonts w:hint="eastAsia" w:ascii="楷体_GB2312" w:eastAsia="楷体_GB2312"/>
          <w:b w:val="0"/>
          <w:sz w:val="30"/>
          <w:szCs w:val="30"/>
        </w:rPr>
        <w:t>（一）项目基本情况</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洋山全球数字贸易综合配套服务基地项目，建设单位为上海自贸区联合发展有限公司（以下简称“自联发公司”），施工总承包单位为上海建工七建集团有限公司（以下简称“七建集团”），钢结构分包单位为浙江中南建设集团钢结构有限公司（以下简称“中南钢构”），钢结构劳务分包单位为上海隽功建筑劳务有限公司（以下简称“隽功劳务”），监理单位：上海华城工程建设管理有限公司（以下简称：华城监理）。项目建筑面积: 129329平方米，项目总投资7.4亿元，2020年9月30日，项目取得施工许可证，证号：</w:t>
      </w:r>
      <w:r>
        <w:rPr>
          <w:rFonts w:ascii="仿宋_GB2312" w:eastAsia="仿宋_GB2312"/>
          <w:sz w:val="30"/>
          <w:szCs w:val="30"/>
        </w:rPr>
        <w:t>20LGPD0154D01</w:t>
      </w:r>
      <w:r>
        <w:rPr>
          <w:rFonts w:hint="eastAsia" w:ascii="仿宋_GB2312" w:eastAsia="仿宋_GB2312"/>
          <w:sz w:val="30"/>
          <w:szCs w:val="30"/>
        </w:rPr>
        <w:t>。</w:t>
      </w:r>
    </w:p>
    <w:p>
      <w:pPr>
        <w:pStyle w:val="2"/>
        <w:spacing w:before="0" w:after="0" w:line="600" w:lineRule="exact"/>
        <w:ind w:firstLine="600" w:firstLineChars="200"/>
        <w:rPr>
          <w:rFonts w:ascii="楷体_GB2312" w:eastAsia="楷体_GB2312"/>
          <w:b w:val="0"/>
          <w:sz w:val="30"/>
          <w:szCs w:val="30"/>
        </w:rPr>
      </w:pPr>
      <w:r>
        <w:rPr>
          <w:rFonts w:hint="eastAsia" w:ascii="楷体_GB2312" w:eastAsia="楷体_GB2312"/>
          <w:b w:val="0"/>
          <w:sz w:val="30"/>
          <w:szCs w:val="30"/>
        </w:rPr>
        <w:t>（二）相关单位情况</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1.自联发公司，成立于</w:t>
      </w:r>
      <w:r>
        <w:rPr>
          <w:rFonts w:ascii="仿宋_GB2312" w:eastAsia="仿宋_GB2312"/>
          <w:sz w:val="30"/>
          <w:szCs w:val="30"/>
        </w:rPr>
        <w:t>20</w:t>
      </w:r>
      <w:r>
        <w:rPr>
          <w:rFonts w:hint="eastAsia" w:ascii="仿宋_GB2312" w:eastAsia="仿宋_GB2312"/>
          <w:sz w:val="30"/>
          <w:szCs w:val="30"/>
        </w:rPr>
        <w:t>05年12月23日;统一社会信用代码：</w:t>
      </w:r>
      <w:r>
        <w:rPr>
          <w:rFonts w:ascii="仿宋_GB2312" w:eastAsia="仿宋_GB2312"/>
          <w:sz w:val="30"/>
          <w:szCs w:val="30"/>
        </w:rPr>
        <w:t>91310000784261515C</w:t>
      </w:r>
      <w:r>
        <w:rPr>
          <w:rFonts w:hint="eastAsia" w:ascii="仿宋_GB2312" w:eastAsia="仿宋_GB2312"/>
          <w:sz w:val="30"/>
          <w:szCs w:val="30"/>
        </w:rPr>
        <w:t>；住所：中国(上海)自由贸易试验区临港新片区业盛路188号国贸大厦A座601室；法定代表人：冯国明；公司类型：有限责任公司（国有控股）;经营范围：区内市政基础设施开发投资、综合配套设施（含各类管网设施）开发投资，区内外各类房地产及配套设施的投资、开发、建设、经营和管理，园区管理及物业管理，仓储及保税仓储（除危险品），从事海上、航空、公路国际货物运输代理业务，国内货运代理，兴办各类新兴产业，科技开发，区内商业性简单加工和各类出口加工，关于货物、技术及知识产权的国际与国内贸易及贸易代理，从事货物及技术的进出口业务，保税展示及国内外展示展览，商务信息咨询，市场营销策划及调研（不得从事社会调查、社会调研、民意调查、民意测验），企业登记代理。</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2.七建集团,成立于1993年05月10日;统一社会信用代码：</w:t>
      </w:r>
      <w:r>
        <w:rPr>
          <w:rFonts w:ascii="仿宋_GB2312" w:eastAsia="仿宋_GB2312"/>
          <w:sz w:val="30"/>
          <w:szCs w:val="30"/>
        </w:rPr>
        <w:t>91310115133504675F</w:t>
      </w:r>
      <w:r>
        <w:rPr>
          <w:rFonts w:hint="eastAsia" w:ascii="仿宋_GB2312" w:eastAsia="仿宋_GB2312"/>
          <w:sz w:val="30"/>
          <w:szCs w:val="30"/>
        </w:rPr>
        <w:t>；住所：中国(上海)自由贸易试验区福山路33号17楼C座；法定代表人：宋文俊；公司类型：有限责任公司（非自然人投资或控股的法人独资）;经营范围：建筑设计，建设工程总承包，土木建筑，设备安装，建筑机械施工、修理、设备租赁，建筑装潢设计、施工及技术服务，结构件的产销、修理及租赁，建筑材料、金属材料、木材、五金交电的销售，普通货运（凭许可证经营）。持有建筑工程施工总承包特级资质，证书编号：</w:t>
      </w:r>
      <w:r>
        <w:rPr>
          <w:rFonts w:ascii="仿宋_GB2312" w:eastAsia="仿宋_GB2312"/>
          <w:sz w:val="30"/>
          <w:szCs w:val="30"/>
        </w:rPr>
        <w:t>D131089495</w:t>
      </w:r>
      <w:r>
        <w:rPr>
          <w:rFonts w:hint="eastAsia" w:ascii="仿宋_GB2312" w:eastAsia="仿宋_GB2312"/>
          <w:sz w:val="30"/>
          <w:szCs w:val="30"/>
        </w:rPr>
        <w:t>。安全生产许可证编号：（沪）JZ安许证字[2016]010030。</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3.中南钢构，成立于2000年10月11日;</w:t>
      </w:r>
      <w:r>
        <w:rPr>
          <w:rFonts w:hint="eastAsia"/>
        </w:rPr>
        <w:t xml:space="preserve"> </w:t>
      </w:r>
      <w:r>
        <w:rPr>
          <w:rFonts w:hint="eastAsia" w:ascii="仿宋_GB2312" w:eastAsia="仿宋_GB2312"/>
          <w:sz w:val="30"/>
          <w:szCs w:val="30"/>
        </w:rPr>
        <w:t>2022年2月22日更名为浙江中南绿建科技集团有限公司；统一社会信用代码：</w:t>
      </w:r>
      <w:r>
        <w:rPr>
          <w:rFonts w:ascii="仿宋_GB2312" w:eastAsia="仿宋_GB2312"/>
          <w:sz w:val="30"/>
          <w:szCs w:val="30"/>
        </w:rPr>
        <w:t>91330108704787825N</w:t>
      </w:r>
      <w:r>
        <w:rPr>
          <w:rFonts w:hint="eastAsia" w:ascii="仿宋_GB2312" w:eastAsia="仿宋_GB2312"/>
          <w:sz w:val="30"/>
          <w:szCs w:val="30"/>
        </w:rPr>
        <w:t>；住所：浙江省杭州市富阳区场口镇场口东街18号；法定代表人：王宇伟；公司类型：有限责任公司（自然人投资或控股）;经营范围：一般项目：技术服务、技术开发、技术咨询、技术交流、技术转让、技术推广；技术进出口；金属结构制造；金属结构销售；对外承包工程；货物进出口(除依法须经批准的项目外，凭营业执照依法自主开展经营活动)。许可项目：建设工程施工；建设工程设计；建筑劳务分包(依法须经批准的项目，经相关部门批准后方可开展经营活动，具体经营项目以审批结果为准)。持有钢结构工程施工专业承包一级资质，证书编号:</w:t>
      </w:r>
      <w:r>
        <w:rPr>
          <w:rFonts w:ascii="仿宋_GB2312" w:eastAsia="仿宋_GB2312"/>
          <w:sz w:val="30"/>
          <w:szCs w:val="30"/>
        </w:rPr>
        <w:t>D233340677</w:t>
      </w:r>
      <w:r>
        <w:rPr>
          <w:rFonts w:hint="eastAsia" w:ascii="仿宋_GB2312" w:eastAsia="仿宋_GB2312"/>
          <w:sz w:val="30"/>
          <w:szCs w:val="30"/>
        </w:rPr>
        <w:t>；安全生产许可证编号：（浙）JZ安许证字[2005]010824。</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4.隽功劳务，成立于2017年05月12日;统一社会信用代码：</w:t>
      </w:r>
      <w:r>
        <w:rPr>
          <w:rFonts w:ascii="仿宋_GB2312" w:eastAsia="仿宋_GB2312"/>
          <w:sz w:val="30"/>
          <w:szCs w:val="30"/>
        </w:rPr>
        <w:t>91310230MA1JYA914D</w:t>
      </w:r>
      <w:r>
        <w:rPr>
          <w:rFonts w:hint="eastAsia" w:ascii="仿宋_GB2312" w:eastAsia="仿宋_GB2312"/>
          <w:sz w:val="30"/>
          <w:szCs w:val="30"/>
        </w:rPr>
        <w:t>；住所：上海市崇明区横沙乡富民支路58号D1-8284室(上海横泰经济开发区)；法定代表人：袁春志；公司类型：有限责任公司（自然人投资或控股的法人独资）;经营范围：建筑劳务分包，房屋建筑工程，建筑装修装饰工程，建筑防水工程，水利水电工程，市政公用工程，绿化工程，土石方工程，钢结构工程，机电设备安装工程，地基与基础工程，航道工程，河湖整治工程，管道工程，照明工程，模板脚手架工程，建筑幕墙工程，桥梁工程，隧道工程，公路工程，房屋拆除工程，园林古建筑工程，消防设施工程，防腐保温工程，建筑专业设计，企业管理咨询，房地产开发，机械设备租赁，五金交电、建筑材料、花卉苗木、橡塑制品的销售，限分支机构经营：金属制品加工。持有施工劳务企业资质劳务分包不分级（备案）资质，证书编号:</w:t>
      </w:r>
      <w:r>
        <w:t xml:space="preserve"> </w:t>
      </w:r>
      <w:r>
        <w:rPr>
          <w:rFonts w:ascii="仿宋_GB2312" w:eastAsia="仿宋_GB2312"/>
          <w:sz w:val="30"/>
          <w:szCs w:val="30"/>
        </w:rPr>
        <w:t>D231568817</w:t>
      </w:r>
      <w:r>
        <w:rPr>
          <w:rFonts w:hint="eastAsia" w:ascii="仿宋_GB2312" w:eastAsia="仿宋_GB2312"/>
          <w:sz w:val="30"/>
          <w:szCs w:val="30"/>
        </w:rPr>
        <w:t>；安全生产许可证编号：（沪）JZ安许证字[2018]162532。</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5.华城监理，成立于1996年05月22日;统一社会信用代码</w:t>
      </w:r>
      <w:r>
        <w:rPr>
          <w:rFonts w:ascii="仿宋_GB2312" w:eastAsia="仿宋_GB2312"/>
          <w:sz w:val="30"/>
          <w:szCs w:val="30"/>
        </w:rPr>
        <w:t>913101166306164917</w:t>
      </w:r>
      <w:r>
        <w:rPr>
          <w:rFonts w:hint="eastAsia" w:ascii="仿宋_GB2312" w:eastAsia="仿宋_GB2312"/>
          <w:sz w:val="30"/>
          <w:szCs w:val="30"/>
        </w:rPr>
        <w:t>;住所：上海市金山区朱泾镇金龙新街528弄1118号;法定代表人：吴奇平;公司类型：有限责任公司(自然人投资或控股);经营范围：许可项目：工程造价咨询业务；建筑智能化工程施工。（依法须经批准的项目，经相关部门批准后方可开展经营活动，具体经营项目以相关部门批准文件或许可证件为准） 一般项目：工程建设项目管理，城市建设工程监理，城市建设配套设施及设备安装，从事建设领域内技术咨询、技术服务，建设领域全过程工程咨询服务，招投标代理服务，建设工程信息化管理，工程管理服务。具有不分级综合监理资质，证书编号：</w:t>
      </w:r>
      <w:r>
        <w:rPr>
          <w:rFonts w:ascii="仿宋_GB2312" w:eastAsia="仿宋_GB2312"/>
          <w:sz w:val="30"/>
          <w:szCs w:val="30"/>
        </w:rPr>
        <w:t>E131002561</w:t>
      </w:r>
      <w:r>
        <w:rPr>
          <w:rFonts w:hint="eastAsia" w:ascii="仿宋_GB2312" w:eastAsia="仿宋_GB2312"/>
          <w:sz w:val="30"/>
          <w:szCs w:val="30"/>
        </w:rPr>
        <w:t>。</w:t>
      </w:r>
    </w:p>
    <w:p>
      <w:pPr>
        <w:pStyle w:val="2"/>
        <w:spacing w:before="0" w:after="0" w:line="600" w:lineRule="exact"/>
        <w:ind w:firstLine="600" w:firstLineChars="200"/>
        <w:rPr>
          <w:rFonts w:ascii="楷体_GB2312" w:hAnsi="楷体_GB2312" w:eastAsia="楷体_GB2312" w:cs="楷体_GB2312"/>
          <w:b w:val="0"/>
          <w:bCs w:val="0"/>
          <w:sz w:val="32"/>
          <w:szCs w:val="32"/>
        </w:rPr>
      </w:pPr>
      <w:r>
        <w:rPr>
          <w:rFonts w:hint="eastAsia" w:ascii="楷体_GB2312" w:eastAsia="楷体_GB2312"/>
          <w:b w:val="0"/>
          <w:sz w:val="30"/>
          <w:szCs w:val="30"/>
        </w:rPr>
        <w:t>（三）合同签订情况</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自联发公司与七建集团签订《洋山全球数字贸易综合配套服务基地项目施工总承包合同》和《安全生产责任协议书》，约定由七建集团承包洋山全球数字贸易综合配套服务基地项目的土建安装施工。合同金额约4.68亿元。</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2.七建集团与中南钢构签订《钢结构工程制作与安装合同》及《安全生产管理协议》，约定由中南钢构负责钢结构制作及安装。合同暂估价约5230万元。</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3.2021年8月14日，中南钢构与隽功劳务签订《建设工程劳务分包合同》及《劳务分包安全协议书》，分包范围为钢结构工程施工，合同总价暂定为580万元。</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4.自联发公司与华城监理《建设工程监理合同》，约定由华城监理负责洋山全球数字贸易综合配套服务基地项目的全过程监理。合同金额379.15万元。</w:t>
      </w:r>
    </w:p>
    <w:p>
      <w:pPr>
        <w:pStyle w:val="2"/>
        <w:spacing w:before="0" w:after="0" w:line="600" w:lineRule="exact"/>
        <w:ind w:firstLine="600" w:firstLineChars="200"/>
        <w:rPr>
          <w:rFonts w:ascii="楷体_GB2312" w:eastAsia="楷体_GB2312"/>
          <w:b w:val="0"/>
          <w:sz w:val="30"/>
          <w:szCs w:val="30"/>
        </w:rPr>
      </w:pPr>
      <w:r>
        <w:rPr>
          <w:rFonts w:hint="eastAsia" w:ascii="楷体_GB2312" w:eastAsia="楷体_GB2312"/>
          <w:b w:val="0"/>
          <w:sz w:val="30"/>
          <w:szCs w:val="30"/>
        </w:rPr>
        <w:t>（四）相关人员情况</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1.张洁，男，41岁，江苏省人，七建集团项目经理，全面负责项目生产经营管理，持有建筑施工企业项目负责人安全生产知识考核合格证书。</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2.李良杰，男，29岁，上海市人，七建集团项目安全员，负责项目安全管理工作，持有建筑施工企业专职安全生产管理人员安全生产知识考核合格证书。</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3.张志超，男，33岁，河南省人，中南钢构项目经理，负责事发项目生产经营管理，持有建筑施工企业项目负责人安全生产考核合格证书。事发时请假外出。</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4.范晨光，男，24岁，河北省人，中南钢构项目安全员，负责事发项目安全管理，持有建筑施工企业专职安全生产管理人员安全生产考核合格证书。</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5.刘果，男，44岁，四川省人，中南钢构项目生产执行经理兼施工员，负责施工组织工作，持有土建施工员职业培训合格证。</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6.刘志义，男，39岁，河南省人，中南钢构项目资料员。</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7.仇百乐，男，57岁，江苏省人，上海冠乐建设工程有限公司法定代表人，隽功劳务现场负责人，负责劳务施工管理。</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8.徐海峰，男，44岁，江苏省人，仇百乐下属现场管理人员。</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9.张伟（死者），男，39岁，江苏省人，隽功劳务钢结构班组挂钩工。</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10.魏绪山，男，63岁，山东省人，隽功劳务钢结构班组挂钩工。</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11.姜仁凯，男，51岁，四川省人，上海禹砼建筑工程有限公司（以下简称“禹砼劳务”）事发现场塔吊指挥。</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12.奚洪光，男，58岁，上海市人，华城监理项目总监理工程师。</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13.周亚明，男，63岁，上海市人，华城监理项目安全监理。</w:t>
      </w:r>
    </w:p>
    <w:p>
      <w:pPr>
        <w:pStyle w:val="2"/>
        <w:spacing w:before="0" w:after="0" w:line="600" w:lineRule="exact"/>
        <w:ind w:firstLine="600" w:firstLineChars="200"/>
        <w:rPr>
          <w:rFonts w:ascii="黑体" w:hAnsi="黑体" w:eastAsia="黑体"/>
          <w:b w:val="0"/>
          <w:sz w:val="30"/>
          <w:szCs w:val="30"/>
        </w:rPr>
      </w:pPr>
      <w:r>
        <w:rPr>
          <w:rFonts w:hint="eastAsia" w:ascii="黑体" w:hAnsi="黑体" w:eastAsia="黑体"/>
          <w:b w:val="0"/>
          <w:sz w:val="30"/>
          <w:szCs w:val="30"/>
        </w:rPr>
        <w:t>二、事故发生经过、救援及事故上报情况</w:t>
      </w:r>
    </w:p>
    <w:p>
      <w:pPr>
        <w:adjustRightInd w:val="0"/>
        <w:snapToGrid w:val="0"/>
        <w:spacing w:line="600" w:lineRule="exact"/>
        <w:ind w:firstLine="600" w:firstLineChars="200"/>
        <w:rPr>
          <w:rFonts w:ascii="楷体_GB2312" w:eastAsia="楷体_GB2312"/>
          <w:sz w:val="30"/>
          <w:szCs w:val="30"/>
        </w:rPr>
      </w:pPr>
      <w:r>
        <w:rPr>
          <w:rFonts w:hint="eastAsia" w:ascii="楷体_GB2312" w:eastAsia="楷体_GB2312"/>
          <w:sz w:val="30"/>
          <w:szCs w:val="30"/>
        </w:rPr>
        <w:t>（一）事故发生经过</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2022年1月9日下午，隽功劳务徐海峰安排魏绪山、张伟到项目工地1区B1楼1号塔吊处配合吊装施工材料，魏绪山、张伟负责挂钩，禹砼劳务姜仁凯负责地面起重指挥、毛作均负责驾驶塔吊、赵泽均。15时左右，几人开始吊装钢梁，起吊时魏绪山、张伟使用两副夹钳夹在钢梁两端，固定后由姜仁凯指挥起吊，第一次使用9米长规格钢丝绳起吊时因塔吊起升高度以及搭设的施工外脚手架限制，无法吊运至施工区域，魏绪山、张伟更换成6米长规格的钢丝绳后将第一根钢梁吊运到位。15时20分左右，在起吊第二根钢梁的过程中，起升至约20高的钢梁突然向南端一侧滑动并脱钩，钢梁南端垂直坠落在地，北端向西南方向倒下，负责南侧挂钩的张伟在向东南方向跑动躲避不及，被钢梁端部击打到头背部后倒地。</w:t>
      </w:r>
    </w:p>
    <w:p>
      <w:pPr>
        <w:adjustRightInd w:val="0"/>
        <w:snapToGrid w:val="0"/>
        <w:spacing w:line="600" w:lineRule="exact"/>
        <w:ind w:firstLine="600" w:firstLineChars="200"/>
        <w:rPr>
          <w:rFonts w:ascii="楷体_GB2312" w:eastAsia="楷体_GB2312"/>
          <w:sz w:val="30"/>
          <w:szCs w:val="30"/>
        </w:rPr>
      </w:pPr>
      <w:r>
        <w:rPr>
          <w:rFonts w:hint="eastAsia" w:ascii="楷体_GB2312" w:eastAsia="楷体_GB2312"/>
          <w:sz w:val="30"/>
          <w:szCs w:val="30"/>
        </w:rPr>
        <w:t>（二）事故救援情况</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事故发生后，现场人员立即拨打了“110”和“120”，“120”救护车到场后于15时50分将受伤的张伟送至上海市第六人民医院（东院），入院诊断为：创伤性休克、重型颅脑损伤、多发肋骨骨折并液气胸、右股骨干开放性损伤、背部大面积挫裂伤。因伤重救治无效于当日22时31分宣告临床死亡。</w:t>
      </w:r>
    </w:p>
    <w:p>
      <w:pPr>
        <w:pStyle w:val="2"/>
        <w:spacing w:before="0" w:after="0" w:line="600" w:lineRule="exact"/>
        <w:ind w:firstLine="600" w:firstLineChars="200"/>
        <w:rPr>
          <w:rFonts w:ascii="黑体" w:eastAsia="黑体"/>
          <w:b w:val="0"/>
          <w:color w:val="000000"/>
          <w:sz w:val="30"/>
          <w:szCs w:val="30"/>
        </w:rPr>
      </w:pPr>
      <w:r>
        <w:rPr>
          <w:rFonts w:hint="eastAsia" w:ascii="黑体" w:hAnsi="黑体" w:eastAsia="黑体"/>
          <w:b w:val="0"/>
          <w:sz w:val="30"/>
          <w:szCs w:val="30"/>
        </w:rPr>
        <w:t>三、事故现场勘查及安全管理情况</w:t>
      </w:r>
    </w:p>
    <w:p>
      <w:pPr>
        <w:pStyle w:val="2"/>
        <w:spacing w:before="0" w:after="0" w:line="600" w:lineRule="exact"/>
        <w:ind w:firstLine="600" w:firstLineChars="200"/>
        <w:rPr>
          <w:rFonts w:ascii="楷体_GB2312" w:eastAsia="楷体_GB2312"/>
          <w:b w:val="0"/>
          <w:sz w:val="30"/>
          <w:szCs w:val="30"/>
        </w:rPr>
      </w:pPr>
      <w:r>
        <w:rPr>
          <w:rFonts w:hint="eastAsia" w:ascii="楷体_GB2312" w:eastAsia="楷体_GB2312"/>
          <w:b w:val="0"/>
          <w:sz w:val="30"/>
          <w:szCs w:val="30"/>
        </w:rPr>
        <w:t>（一）事故现场勘查及调查情况</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事发现场位于洋山全球数字贸易综合配套服务基地项目工地西南侧的内部道路（西北-东南向）上，事发钢梁（长10.5米×高0.85米（壁厚0.008米）×上工宽0.18米（壁厚0.01米）、下工宽0.3米（壁厚0.015米），重约1.1吨）侧倒在道路上（见图一），南端处地面有明显血迹（见图二），一旁有掉落的黄色安全帽，北端处约1.3米处路面有钢梁砸出的坑洞由（约0</w:t>
      </w:r>
      <w:r>
        <w:rPr>
          <w:rFonts w:ascii="仿宋_GB2312" w:eastAsia="仿宋_GB2312"/>
          <w:sz w:val="30"/>
          <w:szCs w:val="30"/>
        </w:rPr>
        <w:t>.9</w:t>
      </w:r>
      <w:r>
        <w:rPr>
          <w:rFonts w:hint="eastAsia" w:ascii="仿宋_GB2312" w:eastAsia="仿宋_GB2312"/>
          <w:sz w:val="30"/>
          <w:szCs w:val="30"/>
        </w:rPr>
        <w:t>米长</w:t>
      </w:r>
      <w:r>
        <w:rPr>
          <w:rFonts w:hint="eastAsia" w:ascii="微软雅黑" w:hAnsi="微软雅黑" w:eastAsia="微软雅黑" w:cs="微软雅黑"/>
          <w:sz w:val="30"/>
          <w:szCs w:val="30"/>
        </w:rPr>
        <w:t>╳</w:t>
      </w:r>
      <w:r>
        <w:rPr>
          <w:rFonts w:hint="eastAsia" w:ascii="仿宋_GB2312" w:eastAsia="仿宋_GB2312"/>
          <w:sz w:val="30"/>
          <w:szCs w:val="30"/>
        </w:rPr>
        <w:t>0</w:t>
      </w:r>
      <w:r>
        <w:rPr>
          <w:rFonts w:ascii="仿宋_GB2312" w:eastAsia="仿宋_GB2312"/>
          <w:sz w:val="30"/>
          <w:szCs w:val="30"/>
        </w:rPr>
        <w:t>.55</w:t>
      </w:r>
      <w:r>
        <w:rPr>
          <w:rFonts w:hint="eastAsia" w:ascii="仿宋_GB2312" w:eastAsia="仿宋_GB2312"/>
          <w:sz w:val="30"/>
          <w:szCs w:val="30"/>
        </w:rPr>
        <w:t>米宽</w:t>
      </w:r>
      <w:r>
        <w:rPr>
          <w:rFonts w:hint="eastAsia" w:ascii="微软雅黑" w:hAnsi="微软雅黑" w:eastAsia="微软雅黑" w:cs="微软雅黑"/>
          <w:sz w:val="30"/>
          <w:szCs w:val="30"/>
        </w:rPr>
        <w:t>╳</w:t>
      </w:r>
      <w:r>
        <w:rPr>
          <w:rFonts w:hint="eastAsia" w:ascii="仿宋_GB2312" w:eastAsia="仿宋_GB2312"/>
          <w:sz w:val="30"/>
          <w:szCs w:val="30"/>
        </w:rPr>
        <w:t>0</w:t>
      </w:r>
      <w:r>
        <w:rPr>
          <w:rFonts w:ascii="仿宋_GB2312" w:eastAsia="仿宋_GB2312"/>
          <w:sz w:val="30"/>
          <w:szCs w:val="30"/>
        </w:rPr>
        <w:t>.15</w:t>
      </w:r>
      <w:r>
        <w:rPr>
          <w:rFonts w:hint="eastAsia" w:ascii="仿宋_GB2312" w:eastAsia="仿宋_GB2312"/>
          <w:sz w:val="30"/>
          <w:szCs w:val="30"/>
        </w:rPr>
        <w:t>米深）（见图三）。坑洞西侧约3米处侧立摆放有2根未起吊的同型号钢梁（见图四），现场施工外脚手架已搭设至施工面以上，塔吊升至作业面以上约1</w:t>
      </w:r>
      <w:r>
        <w:rPr>
          <w:rFonts w:ascii="仿宋_GB2312" w:eastAsia="仿宋_GB2312"/>
          <w:sz w:val="30"/>
          <w:szCs w:val="30"/>
        </w:rPr>
        <w:t>0</w:t>
      </w:r>
      <w:r>
        <w:rPr>
          <w:rFonts w:hint="eastAsia" w:ascii="仿宋_GB2312" w:eastAsia="仿宋_GB2312"/>
          <w:sz w:val="30"/>
          <w:szCs w:val="30"/>
        </w:rPr>
        <w:t>米位置（见图四）。</w:t>
      </w:r>
    </w:p>
    <w:p>
      <w:pPr>
        <w:adjustRightInd w:val="0"/>
        <w:snapToGrid w:val="0"/>
        <w:rPr>
          <w:rFonts w:ascii="仿宋_GB2312" w:eastAsia="仿宋_GB2312"/>
          <w:sz w:val="30"/>
          <w:szCs w:val="30"/>
        </w:rPr>
      </w:pPr>
      <w:r>
        <w:rPr>
          <w:rFonts w:ascii="仿宋_GB2312" w:eastAsia="仿宋_GB2312"/>
          <w:sz w:val="30"/>
          <w:szCs w:val="30"/>
        </w:rPr>
        <w:drawing>
          <wp:inline distT="0" distB="0" distL="0" distR="0">
            <wp:extent cx="2429510" cy="3239770"/>
            <wp:effectExtent l="0" t="0" r="8890" b="0"/>
            <wp:docPr id="3" name="图片 3" descr="H:\请示和批复\2022\2022.1.9\IMG_20220109_170846.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H:\请示和批复\2022\2022.1.9\IMG_20220109_170846.jpg"/>
                    <pic:cNvPicPr>
                      <a:picLocks noChangeAspect="true" noChangeArrowheads="true"/>
                    </pic:cNvPicPr>
                  </pic:nvPicPr>
                  <pic:blipFill>
                    <a:blip r:embed="rId6" cstate="print">
                      <a:extLst>
                        <a:ext uri="{28A0092B-C50C-407E-A947-70E740481C1C}">
                          <a14:useLocalDpi xmlns:a14="http://schemas.microsoft.com/office/drawing/2010/main" val="false"/>
                        </a:ext>
                      </a:extLst>
                    </a:blip>
                    <a:srcRect/>
                    <a:stretch>
                      <a:fillRect/>
                    </a:stretch>
                  </pic:blipFill>
                  <pic:spPr>
                    <a:xfrm>
                      <a:off x="0" y="0"/>
                      <a:ext cx="2430000" cy="3240000"/>
                    </a:xfrm>
                    <a:prstGeom prst="rect">
                      <a:avLst/>
                    </a:prstGeom>
                    <a:noFill/>
                    <a:ln>
                      <a:noFill/>
                    </a:ln>
                  </pic:spPr>
                </pic:pic>
              </a:graphicData>
            </a:graphic>
          </wp:inline>
        </w:drawing>
      </w:r>
      <w:r>
        <w:rPr>
          <w:rFonts w:hint="eastAsia" w:ascii="仿宋_GB2312" w:eastAsia="仿宋_GB2312"/>
          <w:sz w:val="30"/>
          <w:szCs w:val="30"/>
        </w:rPr>
        <w:t xml:space="preserve">   </w:t>
      </w:r>
      <w:r>
        <w:rPr>
          <w:rFonts w:ascii="仿宋_GB2312" w:eastAsia="仿宋_GB2312"/>
          <w:sz w:val="30"/>
          <w:szCs w:val="30"/>
        </w:rPr>
        <w:drawing>
          <wp:inline distT="0" distB="0" distL="0" distR="0">
            <wp:extent cx="2429510" cy="3239770"/>
            <wp:effectExtent l="0" t="0" r="8890" b="0"/>
            <wp:docPr id="4" name="图片 4" descr="H:\请示和批复\2022\2022.1.9\IMG_20220109_171112.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H:\请示和批复\2022\2022.1.9\IMG_20220109_171112.jpg"/>
                    <pic:cNvPicPr>
                      <a:picLocks noChangeAspect="true" noChangeArrowheads="true"/>
                    </pic:cNvPicPr>
                  </pic:nvPicPr>
                  <pic:blipFill>
                    <a:blip r:embed="rId7" cstate="print">
                      <a:extLst>
                        <a:ext uri="{28A0092B-C50C-407E-A947-70E740481C1C}">
                          <a14:useLocalDpi xmlns:a14="http://schemas.microsoft.com/office/drawing/2010/main" val="false"/>
                        </a:ext>
                      </a:extLst>
                    </a:blip>
                    <a:srcRect/>
                    <a:stretch>
                      <a:fillRect/>
                    </a:stretch>
                  </pic:blipFill>
                  <pic:spPr>
                    <a:xfrm>
                      <a:off x="0" y="0"/>
                      <a:ext cx="2430000" cy="3240000"/>
                    </a:xfrm>
                    <a:prstGeom prst="rect">
                      <a:avLst/>
                    </a:prstGeom>
                    <a:noFill/>
                    <a:ln>
                      <a:noFill/>
                    </a:ln>
                  </pic:spPr>
                </pic:pic>
              </a:graphicData>
            </a:graphic>
          </wp:inline>
        </w:drawing>
      </w:r>
      <w:r>
        <w:rPr>
          <w:rFonts w:hint="eastAsia" w:ascii="仿宋_GB2312" w:eastAsia="仿宋_GB2312"/>
          <w:sz w:val="30"/>
          <w:szCs w:val="30"/>
        </w:rPr>
        <w:t xml:space="preserve"> </w:t>
      </w:r>
    </w:p>
    <w:p>
      <w:pPr>
        <w:adjustRightInd w:val="0"/>
        <w:snapToGrid w:val="0"/>
        <w:ind w:firstLine="750" w:firstLineChars="250"/>
        <w:rPr>
          <w:rFonts w:ascii="仿宋_GB2312" w:eastAsia="仿宋_GB2312"/>
          <w:sz w:val="30"/>
          <w:szCs w:val="30"/>
        </w:rPr>
      </w:pPr>
      <w:r>
        <w:rPr>
          <w:rFonts w:hint="eastAsia" w:ascii="仿宋_GB2312" w:eastAsia="仿宋_GB2312"/>
          <w:sz w:val="30"/>
          <w:szCs w:val="30"/>
        </w:rPr>
        <w:t>图一 倒地钢梁                图二 现场血迹</w:t>
      </w:r>
    </w:p>
    <w:p>
      <w:pPr>
        <w:adjustRightInd w:val="0"/>
        <w:snapToGrid w:val="0"/>
        <w:rPr>
          <w:rFonts w:ascii="仿宋_GB2312" w:eastAsia="仿宋_GB2312"/>
          <w:sz w:val="30"/>
          <w:szCs w:val="30"/>
        </w:rPr>
      </w:pPr>
      <w:r>
        <w:rPr>
          <w:rFonts w:ascii="仿宋_GB2312" w:eastAsia="仿宋_GB2312"/>
          <w:sz w:val="30"/>
          <w:szCs w:val="30"/>
        </w:rPr>
        <w:drawing>
          <wp:inline distT="0" distB="0" distL="0" distR="0">
            <wp:extent cx="2429510" cy="3239770"/>
            <wp:effectExtent l="0" t="0" r="8890" b="0"/>
            <wp:docPr id="5" name="图片 5" descr="H:\请示和批复\2022\2022.1.9\IMG_20220109_170835.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H:\请示和批复\2022\2022.1.9\IMG_20220109_170835.jpg"/>
                    <pic:cNvPicPr>
                      <a:picLocks noChangeAspect="true" noChangeArrowheads="true"/>
                    </pic:cNvPicPr>
                  </pic:nvPicPr>
                  <pic:blipFill>
                    <a:blip r:embed="rId8" cstate="print">
                      <a:extLst>
                        <a:ext uri="{28A0092B-C50C-407E-A947-70E740481C1C}">
                          <a14:useLocalDpi xmlns:a14="http://schemas.microsoft.com/office/drawing/2010/main" val="false"/>
                        </a:ext>
                      </a:extLst>
                    </a:blip>
                    <a:srcRect/>
                    <a:stretch>
                      <a:fillRect/>
                    </a:stretch>
                  </pic:blipFill>
                  <pic:spPr>
                    <a:xfrm>
                      <a:off x="0" y="0"/>
                      <a:ext cx="2430000" cy="3240000"/>
                    </a:xfrm>
                    <a:prstGeom prst="rect">
                      <a:avLst/>
                    </a:prstGeom>
                    <a:noFill/>
                    <a:ln>
                      <a:noFill/>
                    </a:ln>
                  </pic:spPr>
                </pic:pic>
              </a:graphicData>
            </a:graphic>
          </wp:inline>
        </w:drawing>
      </w:r>
      <w:r>
        <w:rPr>
          <w:rFonts w:hint="eastAsia" w:ascii="仿宋_GB2312" w:eastAsia="仿宋_GB2312"/>
          <w:sz w:val="30"/>
          <w:szCs w:val="30"/>
        </w:rPr>
        <w:t xml:space="preserve">  </w:t>
      </w:r>
      <w:r>
        <w:rPr>
          <w:rFonts w:ascii="仿宋_GB2312" w:eastAsia="仿宋_GB2312"/>
          <w:sz w:val="30"/>
          <w:szCs w:val="30"/>
        </w:rPr>
        <w:drawing>
          <wp:inline distT="0" distB="0" distL="0" distR="0">
            <wp:extent cx="2429510" cy="3239770"/>
            <wp:effectExtent l="0" t="0" r="8890" b="0"/>
            <wp:docPr id="7" name="图片 7" descr="H:\请示和批复\2022\2022.1.9\IMG_20220109_170742.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H:\请示和批复\2022\2022.1.9\IMG_20220109_170742.jpg"/>
                    <pic:cNvPicPr>
                      <a:picLocks noChangeAspect="true" noChangeArrowheads="true"/>
                    </pic:cNvPicPr>
                  </pic:nvPicPr>
                  <pic:blipFill>
                    <a:blip r:embed="rId9" cstate="print">
                      <a:extLst>
                        <a:ext uri="{28A0092B-C50C-407E-A947-70E740481C1C}">
                          <a14:useLocalDpi xmlns:a14="http://schemas.microsoft.com/office/drawing/2010/main" val="false"/>
                        </a:ext>
                      </a:extLst>
                    </a:blip>
                    <a:srcRect/>
                    <a:stretch>
                      <a:fillRect/>
                    </a:stretch>
                  </pic:blipFill>
                  <pic:spPr>
                    <a:xfrm>
                      <a:off x="0" y="0"/>
                      <a:ext cx="2430000" cy="3240000"/>
                    </a:xfrm>
                    <a:prstGeom prst="rect">
                      <a:avLst/>
                    </a:prstGeom>
                    <a:noFill/>
                    <a:ln>
                      <a:noFill/>
                    </a:ln>
                  </pic:spPr>
                </pic:pic>
              </a:graphicData>
            </a:graphic>
          </wp:inline>
        </w:drawing>
      </w:r>
      <w:r>
        <w:rPr>
          <w:rFonts w:hint="eastAsia" w:ascii="仿宋_GB2312" w:eastAsia="仿宋_GB2312"/>
          <w:sz w:val="30"/>
          <w:szCs w:val="30"/>
        </w:rPr>
        <w:t xml:space="preserve"> </w:t>
      </w:r>
    </w:p>
    <w:p>
      <w:pPr>
        <w:adjustRightInd w:val="0"/>
        <w:snapToGrid w:val="0"/>
        <w:ind w:firstLine="600" w:firstLineChars="200"/>
        <w:rPr>
          <w:rFonts w:ascii="仿宋_GB2312" w:eastAsia="仿宋_GB2312"/>
          <w:sz w:val="30"/>
          <w:szCs w:val="30"/>
        </w:rPr>
      </w:pPr>
      <w:r>
        <w:rPr>
          <w:rFonts w:hint="eastAsia" w:ascii="仿宋_GB2312" w:eastAsia="仿宋_GB2312"/>
          <w:sz w:val="30"/>
          <w:szCs w:val="30"/>
        </w:rPr>
        <w:t>图三 钢梁砸出的坑洞        图四 现场坑洞及钢梁</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2.事发后，起吊钢丝绳（长6米，直径1</w:t>
      </w:r>
      <w:r>
        <w:rPr>
          <w:rFonts w:ascii="仿宋_GB2312" w:eastAsia="仿宋_GB2312"/>
          <w:sz w:val="30"/>
          <w:szCs w:val="30"/>
        </w:rPr>
        <w:t>8</w:t>
      </w:r>
      <w:r>
        <w:rPr>
          <w:rFonts w:hint="eastAsia" w:ascii="仿宋_GB2312" w:eastAsia="仿宋_GB2312"/>
          <w:sz w:val="30"/>
          <w:szCs w:val="30"/>
        </w:rPr>
        <w:t>毫米）和夹钳下放至离地2米高处，吊钩下垂位置位于坑洞东侧约2</w:t>
      </w:r>
      <w:r>
        <w:rPr>
          <w:rFonts w:ascii="仿宋_GB2312" w:eastAsia="仿宋_GB2312"/>
          <w:sz w:val="30"/>
          <w:szCs w:val="30"/>
        </w:rPr>
        <w:t>.8</w:t>
      </w:r>
      <w:r>
        <w:rPr>
          <w:rFonts w:hint="eastAsia" w:ascii="仿宋_GB2312" w:eastAsia="仿宋_GB2312"/>
          <w:sz w:val="30"/>
          <w:szCs w:val="30"/>
        </w:rPr>
        <w:t>米处，该处距坠地钢梁远端（张伟发生事故位置）约1</w:t>
      </w:r>
      <w:r>
        <w:rPr>
          <w:rFonts w:ascii="仿宋_GB2312" w:eastAsia="仿宋_GB2312"/>
          <w:sz w:val="30"/>
          <w:szCs w:val="30"/>
        </w:rPr>
        <w:t>3</w:t>
      </w:r>
      <w:r>
        <w:rPr>
          <w:rFonts w:hint="eastAsia" w:ascii="仿宋_GB2312" w:eastAsia="仿宋_GB2312"/>
          <w:sz w:val="30"/>
          <w:szCs w:val="30"/>
        </w:rPr>
        <w:t>米（该处已距起吊时钢梁下方区域约7-</w:t>
      </w:r>
      <w:r>
        <w:rPr>
          <w:rFonts w:ascii="仿宋_GB2312" w:eastAsia="仿宋_GB2312"/>
          <w:sz w:val="30"/>
          <w:szCs w:val="30"/>
        </w:rPr>
        <w:t>8</w:t>
      </w:r>
      <w:r>
        <w:rPr>
          <w:rFonts w:hint="eastAsia" w:ascii="仿宋_GB2312" w:eastAsia="仿宋_GB2312"/>
          <w:sz w:val="30"/>
          <w:szCs w:val="30"/>
        </w:rPr>
        <w:t>米），距未起吊的钢梁（魏绪山事发时所在位置区域）约5米。</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3</w:t>
      </w:r>
      <w:r>
        <w:rPr>
          <w:rFonts w:ascii="仿宋_GB2312" w:eastAsia="仿宋_GB2312"/>
          <w:sz w:val="30"/>
          <w:szCs w:val="30"/>
        </w:rPr>
        <w:t>.</w:t>
      </w:r>
      <w:r>
        <w:rPr>
          <w:rFonts w:hint="eastAsia" w:ascii="仿宋_GB2312" w:eastAsia="仿宋_GB2312"/>
          <w:sz w:val="30"/>
          <w:szCs w:val="30"/>
        </w:rPr>
        <w:t>现场的夹钳为两副不同规格的YC工字钢夹钳，一副为橘红色，一副为黑色（见图五），使用时需将螺杆拧松，扣住工字钢口，将螺杆拧紧后方可起吊。事发时两副夹钳处于拧紧（锁紧）状态，勘查时橘红色夹钳开口间距</w:t>
      </w:r>
      <w:r>
        <w:rPr>
          <w:rFonts w:ascii="仿宋_GB2312" w:eastAsia="仿宋_GB2312"/>
          <w:sz w:val="30"/>
          <w:szCs w:val="30"/>
        </w:rPr>
        <w:t>100</w:t>
      </w:r>
      <w:r>
        <w:rPr>
          <w:rFonts w:hint="eastAsia" w:ascii="仿宋_GB2312" w:eastAsia="仿宋_GB2312"/>
          <w:sz w:val="30"/>
          <w:szCs w:val="30"/>
        </w:rPr>
        <w:t>毫米（见图六），此时内口间距约1</w:t>
      </w:r>
      <w:r>
        <w:rPr>
          <w:rFonts w:ascii="仿宋_GB2312" w:eastAsia="仿宋_GB2312"/>
          <w:sz w:val="30"/>
          <w:szCs w:val="30"/>
        </w:rPr>
        <w:t>80</w:t>
      </w:r>
      <w:r>
        <w:rPr>
          <w:rFonts w:hint="eastAsia" w:ascii="仿宋_GB2312" w:eastAsia="仿宋_GB2312"/>
          <w:sz w:val="30"/>
          <w:szCs w:val="30"/>
        </w:rPr>
        <w:t>毫米，与钢梁上工处宽度一致，夹具宽度为1</w:t>
      </w:r>
      <w:r>
        <w:rPr>
          <w:rFonts w:ascii="仿宋_GB2312" w:eastAsia="仿宋_GB2312"/>
          <w:sz w:val="30"/>
          <w:szCs w:val="30"/>
        </w:rPr>
        <w:t>20</w:t>
      </w:r>
      <w:r>
        <w:rPr>
          <w:rFonts w:hint="eastAsia" w:ascii="仿宋_GB2312" w:eastAsia="仿宋_GB2312"/>
          <w:sz w:val="30"/>
          <w:szCs w:val="30"/>
        </w:rPr>
        <w:t>毫米（见图七），黑色夹钳开口间距</w:t>
      </w:r>
      <w:r>
        <w:rPr>
          <w:rFonts w:ascii="仿宋_GB2312" w:eastAsia="仿宋_GB2312"/>
          <w:sz w:val="30"/>
          <w:szCs w:val="30"/>
        </w:rPr>
        <w:t>100</w:t>
      </w:r>
      <w:r>
        <w:rPr>
          <w:rFonts w:hint="eastAsia" w:ascii="仿宋_GB2312" w:eastAsia="仿宋_GB2312"/>
          <w:sz w:val="30"/>
          <w:szCs w:val="30"/>
        </w:rPr>
        <w:t>毫米（见图八），夹具宽度为</w:t>
      </w:r>
      <w:r>
        <w:rPr>
          <w:rFonts w:ascii="仿宋_GB2312" w:eastAsia="仿宋_GB2312"/>
          <w:sz w:val="30"/>
          <w:szCs w:val="30"/>
        </w:rPr>
        <w:t>70</w:t>
      </w:r>
      <w:r>
        <w:rPr>
          <w:rFonts w:hint="eastAsia" w:ascii="仿宋_GB2312" w:eastAsia="仿宋_GB2312"/>
          <w:sz w:val="30"/>
          <w:szCs w:val="30"/>
        </w:rPr>
        <w:t>毫米（见图九）。事发时，两副夹钳夹在钢梁两端约1</w:t>
      </w:r>
      <w:r>
        <w:rPr>
          <w:rFonts w:ascii="仿宋_GB2312" w:eastAsia="仿宋_GB2312"/>
          <w:sz w:val="30"/>
          <w:szCs w:val="30"/>
        </w:rPr>
        <w:t>.2</w:t>
      </w:r>
      <w:r>
        <w:rPr>
          <w:rFonts w:hint="eastAsia" w:ascii="仿宋_GB2312" w:eastAsia="仿宋_GB2312"/>
          <w:sz w:val="30"/>
          <w:szCs w:val="30"/>
        </w:rPr>
        <w:t>米处。</w:t>
      </w:r>
    </w:p>
    <w:p>
      <w:pPr>
        <w:adjustRightInd w:val="0"/>
        <w:snapToGrid w:val="0"/>
        <w:rPr>
          <w:rFonts w:ascii="仿宋_GB2312" w:eastAsia="仿宋_GB2312"/>
          <w:sz w:val="30"/>
          <w:szCs w:val="30"/>
        </w:rPr>
      </w:pPr>
      <w:r>
        <w:drawing>
          <wp:inline distT="0" distB="0" distL="0" distR="0">
            <wp:extent cx="2429510" cy="3239770"/>
            <wp:effectExtent l="0" t="0" r="8890" b="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noChangeArrowheads="true"/>
                    </pic:cNvPicPr>
                  </pic:nvPicPr>
                  <pic:blipFill>
                    <a:blip r:embed="rId10" cstate="print">
                      <a:extLst>
                        <a:ext uri="{28A0092B-C50C-407E-A947-70E740481C1C}">
                          <a14:useLocalDpi xmlns:a14="http://schemas.microsoft.com/office/drawing/2010/main" val="false"/>
                        </a:ext>
                      </a:extLst>
                    </a:blip>
                    <a:srcRect/>
                    <a:stretch>
                      <a:fillRect/>
                    </a:stretch>
                  </pic:blipFill>
                  <pic:spPr>
                    <a:xfrm>
                      <a:off x="0" y="0"/>
                      <a:ext cx="2430000" cy="3240000"/>
                    </a:xfrm>
                    <a:prstGeom prst="rect">
                      <a:avLst/>
                    </a:prstGeom>
                    <a:noFill/>
                    <a:ln>
                      <a:noFill/>
                    </a:ln>
                  </pic:spPr>
                </pic:pic>
              </a:graphicData>
            </a:graphic>
          </wp:inline>
        </w:drawing>
      </w:r>
      <w:r>
        <w:rPr>
          <w:rFonts w:hint="eastAsia" w:ascii="仿宋_GB2312" w:eastAsia="仿宋_GB2312"/>
          <w:sz w:val="30"/>
          <w:szCs w:val="30"/>
        </w:rPr>
        <w:t xml:space="preserve"> </w:t>
      </w:r>
      <w:r>
        <w:rPr>
          <w:rFonts w:ascii="仿宋_GB2312" w:eastAsia="仿宋_GB2312"/>
          <w:sz w:val="30"/>
          <w:szCs w:val="30"/>
        </w:rPr>
        <w:t xml:space="preserve">   </w:t>
      </w:r>
      <w:r>
        <w:drawing>
          <wp:inline distT="0" distB="0" distL="0" distR="0">
            <wp:extent cx="2429510" cy="3239770"/>
            <wp:effectExtent l="0" t="0" r="8890" b="0"/>
            <wp:docPr id="1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true"/>
                    </pic:cNvPicPr>
                  </pic:nvPicPr>
                  <pic:blipFill>
                    <a:blip r:embed="rId11" cstate="print">
                      <a:extLst>
                        <a:ext uri="{28A0092B-C50C-407E-A947-70E740481C1C}">
                          <a14:useLocalDpi xmlns:a14="http://schemas.microsoft.com/office/drawing/2010/main" val="false"/>
                        </a:ext>
                      </a:extLst>
                    </a:blip>
                    <a:stretch>
                      <a:fillRect/>
                    </a:stretch>
                  </pic:blipFill>
                  <pic:spPr>
                    <a:xfrm>
                      <a:off x="0" y="0"/>
                      <a:ext cx="2430000" cy="3240000"/>
                    </a:xfrm>
                    <a:prstGeom prst="rect">
                      <a:avLst/>
                    </a:prstGeom>
                  </pic:spPr>
                </pic:pic>
              </a:graphicData>
            </a:graphic>
          </wp:inline>
        </w:drawing>
      </w:r>
    </w:p>
    <w:p>
      <w:pPr>
        <w:adjustRightInd w:val="0"/>
        <w:snapToGrid w:val="0"/>
        <w:ind w:firstLine="600" w:firstLineChars="200"/>
        <w:rPr>
          <w:rFonts w:ascii="仿宋_GB2312" w:eastAsia="仿宋_GB2312"/>
          <w:sz w:val="30"/>
          <w:szCs w:val="30"/>
        </w:rPr>
      </w:pPr>
      <w:r>
        <w:rPr>
          <w:rFonts w:hint="eastAsia" w:ascii="仿宋_GB2312" w:eastAsia="仿宋_GB2312"/>
          <w:sz w:val="30"/>
          <w:szCs w:val="30"/>
        </w:rPr>
        <w:t xml:space="preserve">图五 现场使用的夹具 </w:t>
      </w:r>
      <w:r>
        <w:rPr>
          <w:rFonts w:ascii="仿宋_GB2312" w:eastAsia="仿宋_GB2312"/>
          <w:sz w:val="30"/>
          <w:szCs w:val="30"/>
        </w:rPr>
        <w:t xml:space="preserve">        </w:t>
      </w:r>
      <w:r>
        <w:rPr>
          <w:rFonts w:hint="eastAsia" w:ascii="仿宋_GB2312" w:eastAsia="仿宋_GB2312"/>
          <w:sz w:val="30"/>
          <w:szCs w:val="30"/>
        </w:rPr>
        <w:t xml:space="preserve">图六 </w:t>
      </w:r>
      <w:r>
        <w:rPr>
          <w:rFonts w:ascii="仿宋_GB2312" w:eastAsia="仿宋_GB2312"/>
          <w:sz w:val="30"/>
          <w:szCs w:val="30"/>
        </w:rPr>
        <w:t xml:space="preserve"> </w:t>
      </w:r>
      <w:r>
        <w:rPr>
          <w:rFonts w:hint="eastAsia" w:ascii="仿宋_GB2312" w:eastAsia="仿宋_GB2312"/>
          <w:sz w:val="30"/>
          <w:szCs w:val="30"/>
        </w:rPr>
        <w:t>夹钳开口尺寸</w:t>
      </w:r>
    </w:p>
    <w:p>
      <w:pPr>
        <w:adjustRightInd w:val="0"/>
        <w:snapToGrid w:val="0"/>
        <w:rPr>
          <w:rFonts w:ascii="仿宋_GB2312" w:eastAsia="仿宋_GB2312"/>
          <w:sz w:val="30"/>
          <w:szCs w:val="30"/>
        </w:rPr>
      </w:pPr>
      <w:r>
        <w:drawing>
          <wp:inline distT="0" distB="0" distL="0" distR="0">
            <wp:extent cx="3239770" cy="2429510"/>
            <wp:effectExtent l="5080" t="0" r="3810" b="3810"/>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noChangeArrowheads="true"/>
                    </pic:cNvPicPr>
                  </pic:nvPicPr>
                  <pic:blipFill>
                    <a:blip r:embed="rId12" cstate="print">
                      <a:extLst>
                        <a:ext uri="{28A0092B-C50C-407E-A947-70E740481C1C}">
                          <a14:useLocalDpi xmlns:a14="http://schemas.microsoft.com/office/drawing/2010/main" val="false"/>
                        </a:ext>
                      </a:extLst>
                    </a:blip>
                    <a:srcRect/>
                    <a:stretch>
                      <a:fillRect/>
                    </a:stretch>
                  </pic:blipFill>
                  <pic:spPr>
                    <a:xfrm rot="5400000">
                      <a:off x="0" y="0"/>
                      <a:ext cx="3240000" cy="2430000"/>
                    </a:xfrm>
                    <a:prstGeom prst="rect">
                      <a:avLst/>
                    </a:prstGeom>
                    <a:noFill/>
                    <a:ln>
                      <a:noFill/>
                    </a:ln>
                  </pic:spPr>
                </pic:pic>
              </a:graphicData>
            </a:graphic>
          </wp:inline>
        </w:drawing>
      </w:r>
      <w:r>
        <w:rPr>
          <w:rFonts w:hint="eastAsia" w:ascii="仿宋_GB2312" w:eastAsia="仿宋_GB2312"/>
          <w:sz w:val="30"/>
          <w:szCs w:val="30"/>
        </w:rPr>
        <w:t xml:space="preserve"> </w:t>
      </w:r>
      <w:r>
        <w:rPr>
          <w:rFonts w:ascii="仿宋_GB2312" w:eastAsia="仿宋_GB2312"/>
          <w:sz w:val="30"/>
          <w:szCs w:val="30"/>
        </w:rPr>
        <w:t xml:space="preserve">  </w:t>
      </w:r>
      <w:r>
        <w:drawing>
          <wp:inline distT="0" distB="0" distL="0" distR="0">
            <wp:extent cx="3239770" cy="2429510"/>
            <wp:effectExtent l="5080" t="0" r="3810" b="3810"/>
            <wp:docPr id="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true" noChangeArrowheads="true"/>
                    </pic:cNvPicPr>
                  </pic:nvPicPr>
                  <pic:blipFill>
                    <a:blip r:embed="rId13" cstate="print">
                      <a:extLst>
                        <a:ext uri="{28A0092B-C50C-407E-A947-70E740481C1C}">
                          <a14:useLocalDpi xmlns:a14="http://schemas.microsoft.com/office/drawing/2010/main" val="false"/>
                        </a:ext>
                      </a:extLst>
                    </a:blip>
                    <a:srcRect/>
                    <a:stretch>
                      <a:fillRect/>
                    </a:stretch>
                  </pic:blipFill>
                  <pic:spPr>
                    <a:xfrm rot="5400000">
                      <a:off x="0" y="0"/>
                      <a:ext cx="3240000" cy="2430000"/>
                    </a:xfrm>
                    <a:prstGeom prst="rect">
                      <a:avLst/>
                    </a:prstGeom>
                    <a:noFill/>
                    <a:ln>
                      <a:noFill/>
                    </a:ln>
                  </pic:spPr>
                </pic:pic>
              </a:graphicData>
            </a:graphic>
          </wp:inline>
        </w:drawing>
      </w:r>
    </w:p>
    <w:p>
      <w:pPr>
        <w:adjustRightInd w:val="0"/>
        <w:snapToGrid w:val="0"/>
        <w:rPr>
          <w:rFonts w:ascii="仿宋_GB2312" w:eastAsia="仿宋_GB2312"/>
          <w:sz w:val="30"/>
          <w:szCs w:val="30"/>
        </w:rPr>
      </w:pPr>
      <w:r>
        <w:rPr>
          <w:rFonts w:hint="eastAsia" w:ascii="仿宋_GB2312" w:eastAsia="仿宋_GB2312"/>
          <w:sz w:val="30"/>
          <w:szCs w:val="30"/>
        </w:rPr>
        <w:t xml:space="preserve"> </w:t>
      </w:r>
      <w:r>
        <w:rPr>
          <w:rFonts w:ascii="仿宋_GB2312" w:eastAsia="仿宋_GB2312"/>
          <w:sz w:val="30"/>
          <w:szCs w:val="30"/>
        </w:rPr>
        <w:t xml:space="preserve"> </w:t>
      </w:r>
      <w:r>
        <w:rPr>
          <w:rFonts w:hint="eastAsia" w:ascii="仿宋_GB2312" w:eastAsia="仿宋_GB2312"/>
          <w:sz w:val="30"/>
          <w:szCs w:val="30"/>
        </w:rPr>
        <w:t xml:space="preserve">图七 </w:t>
      </w:r>
      <w:r>
        <w:rPr>
          <w:rFonts w:ascii="仿宋_GB2312" w:eastAsia="仿宋_GB2312"/>
          <w:sz w:val="30"/>
          <w:szCs w:val="30"/>
        </w:rPr>
        <w:t xml:space="preserve"> </w:t>
      </w:r>
      <w:r>
        <w:rPr>
          <w:rFonts w:hint="eastAsia" w:ascii="仿宋_GB2312" w:eastAsia="仿宋_GB2312"/>
          <w:sz w:val="30"/>
          <w:szCs w:val="30"/>
        </w:rPr>
        <w:t xml:space="preserve">夹钳宽度 </w:t>
      </w:r>
      <w:r>
        <w:rPr>
          <w:rFonts w:ascii="仿宋_GB2312" w:eastAsia="仿宋_GB2312"/>
          <w:sz w:val="30"/>
          <w:szCs w:val="30"/>
        </w:rPr>
        <w:t xml:space="preserve">                </w:t>
      </w:r>
      <w:r>
        <w:rPr>
          <w:rFonts w:hint="eastAsia" w:ascii="仿宋_GB2312" w:eastAsia="仿宋_GB2312"/>
          <w:sz w:val="30"/>
          <w:szCs w:val="30"/>
        </w:rPr>
        <w:t>图八</w:t>
      </w:r>
      <w:r>
        <w:rPr>
          <w:rFonts w:ascii="仿宋_GB2312" w:eastAsia="仿宋_GB2312"/>
          <w:sz w:val="30"/>
          <w:szCs w:val="30"/>
        </w:rPr>
        <w:t xml:space="preserve"> </w:t>
      </w:r>
      <w:r>
        <w:rPr>
          <w:rFonts w:hint="eastAsia" w:ascii="仿宋_GB2312" w:eastAsia="仿宋_GB2312"/>
          <w:sz w:val="30"/>
          <w:szCs w:val="30"/>
        </w:rPr>
        <w:t>夹钳开口尺寸</w:t>
      </w:r>
    </w:p>
    <w:p>
      <w:pPr>
        <w:adjustRightInd w:val="0"/>
        <w:snapToGrid w:val="0"/>
        <w:rPr>
          <w:rFonts w:ascii="仿宋_GB2312" w:eastAsia="仿宋_GB2312"/>
          <w:sz w:val="30"/>
          <w:szCs w:val="30"/>
        </w:rPr>
      </w:pPr>
      <w:r>
        <w:drawing>
          <wp:inline distT="0" distB="0" distL="0" distR="0">
            <wp:extent cx="3239770" cy="2429510"/>
            <wp:effectExtent l="5080" t="0" r="3810" b="3810"/>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noChangeArrowheads="true"/>
                    </pic:cNvPicPr>
                  </pic:nvPicPr>
                  <pic:blipFill>
                    <a:blip r:embed="rId14" cstate="print">
                      <a:extLst>
                        <a:ext uri="{28A0092B-C50C-407E-A947-70E740481C1C}">
                          <a14:useLocalDpi xmlns:a14="http://schemas.microsoft.com/office/drawing/2010/main" val="false"/>
                        </a:ext>
                      </a:extLst>
                    </a:blip>
                    <a:srcRect/>
                    <a:stretch>
                      <a:fillRect/>
                    </a:stretch>
                  </pic:blipFill>
                  <pic:spPr>
                    <a:xfrm rot="5400000">
                      <a:off x="0" y="0"/>
                      <a:ext cx="3240000" cy="2430000"/>
                    </a:xfrm>
                    <a:prstGeom prst="rect">
                      <a:avLst/>
                    </a:prstGeom>
                    <a:noFill/>
                    <a:ln>
                      <a:noFill/>
                    </a:ln>
                  </pic:spPr>
                </pic:pic>
              </a:graphicData>
            </a:graphic>
          </wp:inline>
        </w:drawing>
      </w:r>
      <w:r>
        <w:rPr>
          <w:rFonts w:hint="eastAsia" w:ascii="仿宋_GB2312" w:eastAsia="仿宋_GB2312"/>
          <w:sz w:val="30"/>
          <w:szCs w:val="30"/>
        </w:rPr>
        <w:t xml:space="preserve"> </w:t>
      </w:r>
      <w:r>
        <w:rPr>
          <w:rFonts w:ascii="仿宋_GB2312" w:eastAsia="仿宋_GB2312"/>
          <w:sz w:val="30"/>
          <w:szCs w:val="30"/>
        </w:rPr>
        <w:t xml:space="preserve">  </w:t>
      </w:r>
      <w:r>
        <w:drawing>
          <wp:inline distT="0" distB="0" distL="0" distR="0">
            <wp:extent cx="2429510" cy="3239770"/>
            <wp:effectExtent l="0" t="0" r="8890" b="0"/>
            <wp:docPr id="12"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true"/>
                    </pic:cNvPicPr>
                  </pic:nvPicPr>
                  <pic:blipFill>
                    <a:blip r:embed="rId15" cstate="print">
                      <a:extLst>
                        <a:ext uri="{28A0092B-C50C-407E-A947-70E740481C1C}">
                          <a14:useLocalDpi xmlns:a14="http://schemas.microsoft.com/office/drawing/2010/main" val="false"/>
                        </a:ext>
                      </a:extLst>
                    </a:blip>
                    <a:stretch>
                      <a:fillRect/>
                    </a:stretch>
                  </pic:blipFill>
                  <pic:spPr>
                    <a:xfrm>
                      <a:off x="0" y="0"/>
                      <a:ext cx="2430000" cy="3240000"/>
                    </a:xfrm>
                    <a:prstGeom prst="rect">
                      <a:avLst/>
                    </a:prstGeom>
                  </pic:spPr>
                </pic:pic>
              </a:graphicData>
            </a:graphic>
          </wp:inline>
        </w:drawing>
      </w:r>
    </w:p>
    <w:p>
      <w:pPr>
        <w:adjustRightInd w:val="0"/>
        <w:snapToGrid w:val="0"/>
        <w:rPr>
          <w:rFonts w:ascii="仿宋_GB2312" w:eastAsia="仿宋_GB2312"/>
          <w:sz w:val="30"/>
          <w:szCs w:val="30"/>
        </w:rPr>
      </w:pPr>
      <w:r>
        <w:rPr>
          <w:rFonts w:hint="eastAsia" w:ascii="仿宋_GB2312" w:eastAsia="仿宋_GB2312"/>
          <w:sz w:val="30"/>
          <w:szCs w:val="30"/>
        </w:rPr>
        <w:t xml:space="preserve"> </w:t>
      </w:r>
      <w:r>
        <w:rPr>
          <w:rFonts w:ascii="仿宋_GB2312" w:eastAsia="仿宋_GB2312"/>
          <w:sz w:val="30"/>
          <w:szCs w:val="30"/>
        </w:rPr>
        <w:t xml:space="preserve">  </w:t>
      </w:r>
      <w:r>
        <w:rPr>
          <w:rFonts w:hint="eastAsia" w:ascii="仿宋_GB2312" w:eastAsia="仿宋_GB2312"/>
          <w:sz w:val="30"/>
          <w:szCs w:val="30"/>
        </w:rPr>
        <w:t xml:space="preserve">图九 </w:t>
      </w:r>
      <w:r>
        <w:rPr>
          <w:rFonts w:ascii="仿宋_GB2312" w:eastAsia="仿宋_GB2312"/>
          <w:sz w:val="30"/>
          <w:szCs w:val="30"/>
        </w:rPr>
        <w:t xml:space="preserve"> </w:t>
      </w:r>
      <w:r>
        <w:rPr>
          <w:rFonts w:hint="eastAsia" w:ascii="仿宋_GB2312" w:eastAsia="仿宋_GB2312"/>
          <w:sz w:val="30"/>
          <w:szCs w:val="30"/>
        </w:rPr>
        <w:t xml:space="preserve">夹钳宽度 </w:t>
      </w:r>
      <w:r>
        <w:rPr>
          <w:rFonts w:ascii="仿宋_GB2312" w:eastAsia="仿宋_GB2312"/>
          <w:sz w:val="30"/>
          <w:szCs w:val="30"/>
        </w:rPr>
        <w:t xml:space="preserve">           </w:t>
      </w:r>
      <w:r>
        <w:rPr>
          <w:rFonts w:hint="eastAsia" w:ascii="仿宋_GB2312" w:eastAsia="仿宋_GB2312"/>
          <w:sz w:val="30"/>
          <w:szCs w:val="30"/>
        </w:rPr>
        <w:t>图十 产品合格证和说明书</w:t>
      </w:r>
    </w:p>
    <w:p>
      <w:pPr>
        <w:adjustRightInd w:val="0"/>
        <w:snapToGrid w:val="0"/>
        <w:spacing w:line="600" w:lineRule="exact"/>
        <w:ind w:firstLine="600" w:firstLineChars="200"/>
        <w:rPr>
          <w:rFonts w:ascii="仿宋_GB2312" w:eastAsia="仿宋_GB2312"/>
          <w:sz w:val="30"/>
          <w:szCs w:val="30"/>
        </w:rPr>
      </w:pPr>
      <w:r>
        <w:rPr>
          <w:rFonts w:ascii="仿宋_GB2312" w:eastAsia="仿宋_GB2312"/>
          <w:sz w:val="30"/>
          <w:szCs w:val="30"/>
        </w:rPr>
        <w:t>4.</w:t>
      </w:r>
      <w:r>
        <w:rPr>
          <w:rFonts w:hint="eastAsia" w:ascii="仿宋_GB2312" w:eastAsia="仿宋_GB2312"/>
          <w:sz w:val="30"/>
          <w:szCs w:val="30"/>
        </w:rPr>
        <w:t>中南钢构提供了YC工字钢夹钳的产品合格证和钢板起重吊钳使用说明书（见图十）。产品合格证注明生产厂家为清苑威龙起重机械有限公司生产，起重量为5吨，检验日期为2</w:t>
      </w:r>
      <w:r>
        <w:rPr>
          <w:rFonts w:ascii="仿宋_GB2312" w:eastAsia="仿宋_GB2312"/>
          <w:sz w:val="30"/>
          <w:szCs w:val="30"/>
        </w:rPr>
        <w:t>021</w:t>
      </w:r>
      <w:r>
        <w:rPr>
          <w:rFonts w:hint="eastAsia" w:ascii="仿宋_GB2312" w:eastAsia="仿宋_GB2312"/>
          <w:sz w:val="30"/>
          <w:szCs w:val="30"/>
        </w:rPr>
        <w:t>年5月1</w:t>
      </w:r>
      <w:r>
        <w:rPr>
          <w:rFonts w:ascii="仿宋_GB2312" w:eastAsia="仿宋_GB2312"/>
          <w:sz w:val="30"/>
          <w:szCs w:val="30"/>
        </w:rPr>
        <w:t>8</w:t>
      </w:r>
      <w:r>
        <w:rPr>
          <w:rFonts w:hint="eastAsia" w:ascii="仿宋_GB2312" w:eastAsia="仿宋_GB2312"/>
          <w:sz w:val="30"/>
          <w:szCs w:val="30"/>
        </w:rPr>
        <w:t>日。使用说明书特别提醒“横吊必须成对使用”“起吊时钢丝绳的夹角应不大于6</w:t>
      </w:r>
      <w:r>
        <w:rPr>
          <w:rFonts w:ascii="仿宋_GB2312" w:eastAsia="仿宋_GB2312"/>
          <w:sz w:val="30"/>
          <w:szCs w:val="30"/>
        </w:rPr>
        <w:t>0</w:t>
      </w:r>
      <w:r>
        <w:rPr>
          <w:rFonts w:hint="eastAsia" w:ascii="仿宋_GB2312" w:eastAsia="仿宋_GB2312"/>
          <w:sz w:val="30"/>
          <w:szCs w:val="30"/>
        </w:rPr>
        <w:t>°”。产品合格证和说明书报七建集团和华城监理备案。</w:t>
      </w:r>
    </w:p>
    <w:p>
      <w:pPr>
        <w:pStyle w:val="2"/>
        <w:spacing w:before="0" w:after="0" w:line="600" w:lineRule="exact"/>
        <w:ind w:firstLine="600" w:firstLineChars="200"/>
        <w:rPr>
          <w:rFonts w:ascii="楷体_GB2312" w:eastAsia="楷体_GB2312"/>
          <w:b w:val="0"/>
          <w:sz w:val="30"/>
          <w:szCs w:val="30"/>
        </w:rPr>
      </w:pPr>
      <w:r>
        <w:rPr>
          <w:rFonts w:hint="eastAsia" w:ascii="楷体_GB2312" w:eastAsia="楷体_GB2312"/>
          <w:b w:val="0"/>
          <w:sz w:val="30"/>
          <w:szCs w:val="30"/>
        </w:rPr>
        <w:t>（二）安全管理情况</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中南钢构制定了《工程项目安全生产考核制度》《起重作业安全操作规程》《起重工安全操作规程》等规章制度，编制了钢结构吊装专项方案。吊装专项方案要求“钢柱钢梁可采用两点吊装，吊点位置一般距离两端三分之一位置，采用吊耳和卸扣方式连接，吊索角度45°到60°”；但进场钢梁没有焊接吊耳，现场一直使用与方案不符的YC工字钢夹钳固定吊装，且没有变更施工方案，没有进行针对性的风险辨识。对魏绪山、张伟等人进行了安全教育培训和安全技术交底，钢结构安全技术交底中钢结构吊装方式及安全要求明确“吊索角度4</w:t>
      </w:r>
      <w:r>
        <w:rPr>
          <w:rFonts w:ascii="仿宋_GB2312" w:eastAsia="仿宋_GB2312"/>
          <w:sz w:val="30"/>
          <w:szCs w:val="30"/>
        </w:rPr>
        <w:t>5</w:t>
      </w:r>
      <w:r>
        <w:rPr>
          <w:rFonts w:hint="eastAsia" w:ascii="仿宋_GB2312" w:eastAsia="仿宋_GB2312"/>
          <w:sz w:val="30"/>
          <w:szCs w:val="30"/>
        </w:rPr>
        <w:t>°到6</w:t>
      </w:r>
      <w:r>
        <w:rPr>
          <w:rFonts w:ascii="仿宋_GB2312" w:eastAsia="仿宋_GB2312"/>
          <w:sz w:val="30"/>
          <w:szCs w:val="30"/>
        </w:rPr>
        <w:t>0</w:t>
      </w:r>
      <w:r>
        <w:rPr>
          <w:rFonts w:hint="eastAsia" w:ascii="仿宋_GB2312" w:eastAsia="仿宋_GB2312"/>
          <w:sz w:val="30"/>
          <w:szCs w:val="30"/>
        </w:rPr>
        <w:t>°”，但没有夹具使用要求的内容。</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七建集团项目部制定了安全生产责任制、安全生产检查制度等安全管理制度和各岗位安全技术规程，编制了施工组织设计，对进场人员进行的安全教育培训和安全技术交底。但对起重吊装作业过程中钢丝绳选用、夹具使用中分风险辨识不到位，吊装作业现场安全管理缺失。</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3</w:t>
      </w:r>
      <w:r>
        <w:rPr>
          <w:rFonts w:ascii="仿宋_GB2312" w:eastAsia="仿宋_GB2312"/>
          <w:sz w:val="30"/>
          <w:szCs w:val="30"/>
        </w:rPr>
        <w:t>.</w:t>
      </w:r>
      <w:r>
        <w:rPr>
          <w:rFonts w:hint="eastAsia" w:ascii="仿宋_GB2312" w:eastAsia="仿宋_GB2312"/>
          <w:sz w:val="30"/>
          <w:szCs w:val="30"/>
        </w:rPr>
        <w:t>华城监理监理人员在日常巡查中发现过中南钢构使用夹具吊装钢结构的情况，但没有制止；发现改用6米长规格钢丝绳、钢丝绳夹角大于60°的情况，但没有有效督促整改。</w:t>
      </w:r>
    </w:p>
    <w:p>
      <w:pPr>
        <w:adjustRightInd w:val="0"/>
        <w:snapToGrid w:val="0"/>
        <w:spacing w:line="600" w:lineRule="exact"/>
        <w:ind w:firstLine="600" w:firstLineChars="200"/>
        <w:rPr>
          <w:rFonts w:ascii="楷体_GB2312" w:eastAsia="楷体_GB2312"/>
          <w:bCs/>
          <w:kern w:val="44"/>
          <w:sz w:val="30"/>
          <w:szCs w:val="30"/>
        </w:rPr>
      </w:pPr>
      <w:r>
        <w:rPr>
          <w:rFonts w:hint="eastAsia" w:ascii="楷体_GB2312" w:eastAsia="楷体_GB2312"/>
          <w:bCs/>
          <w:kern w:val="44"/>
          <w:sz w:val="30"/>
          <w:szCs w:val="30"/>
        </w:rPr>
        <w:t>（三）技术分析</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根据现场勘查和及调查情况进行综合技术分析：事发时夹钳夹在钢梁两端约1</w:t>
      </w:r>
      <w:r>
        <w:rPr>
          <w:rFonts w:ascii="仿宋_GB2312" w:eastAsia="仿宋_GB2312"/>
          <w:sz w:val="30"/>
          <w:szCs w:val="30"/>
        </w:rPr>
        <w:t>.2</w:t>
      </w:r>
      <w:r>
        <w:rPr>
          <w:rFonts w:hint="eastAsia" w:ascii="仿宋_GB2312" w:eastAsia="仿宋_GB2312"/>
          <w:sz w:val="30"/>
          <w:szCs w:val="30"/>
        </w:rPr>
        <w:t>米处，两根钢丝绳中间的钢梁长度约8米，使用两根6米的钢丝绳起吊时，钢丝绳实际夹角约8</w:t>
      </w:r>
      <w:r>
        <w:rPr>
          <w:rFonts w:ascii="仿宋_GB2312" w:eastAsia="仿宋_GB2312"/>
          <w:sz w:val="30"/>
          <w:szCs w:val="30"/>
        </w:rPr>
        <w:t>0</w:t>
      </w:r>
      <w:r>
        <w:rPr>
          <w:rFonts w:hint="eastAsia" w:ascii="仿宋_GB2312" w:eastAsia="仿宋_GB2312"/>
          <w:sz w:val="30"/>
          <w:szCs w:val="30"/>
        </w:rPr>
        <w:t>°，</w:t>
      </w:r>
      <w:bookmarkStart w:id="0" w:name="_Hlk108733322"/>
      <w:r>
        <w:rPr>
          <w:rFonts w:hint="eastAsia" w:ascii="仿宋_GB2312" w:eastAsia="仿宋_GB2312"/>
          <w:sz w:val="30"/>
          <w:szCs w:val="30"/>
        </w:rPr>
        <w:t>在起吊过程中夹具因钢丝绳夹角过大受到的横向力明显增加，当横向受力超过夹具锁紧产生的</w:t>
      </w:r>
      <w:bookmarkStart w:id="1" w:name="_Hlk108732671"/>
      <w:r>
        <w:rPr>
          <w:rFonts w:hint="eastAsia" w:ascii="仿宋_GB2312" w:eastAsia="仿宋_GB2312"/>
          <w:sz w:val="30"/>
          <w:szCs w:val="30"/>
        </w:rPr>
        <w:t>阻力</w:t>
      </w:r>
      <w:bookmarkEnd w:id="1"/>
      <w:r>
        <w:rPr>
          <w:rFonts w:hint="eastAsia" w:ascii="仿宋_GB2312" w:eastAsia="仿宋_GB2312"/>
          <w:sz w:val="30"/>
          <w:szCs w:val="30"/>
        </w:rPr>
        <w:t>后，夹具会向钢梁中间滑动，同时因使用两副规格偏差严重的夹具，造成阻力存在明显差距，钢梁南端黑色夹钳滑动幅度将明显大于北端橘红色夹钳，致使钢梁在夹具滑移过程中重心加剧失衡，导致钢梁向南端倾斜下垂后脱钩坠落，</w:t>
      </w:r>
      <w:bookmarkEnd w:id="0"/>
      <w:r>
        <w:rPr>
          <w:rFonts w:hint="eastAsia" w:ascii="仿宋_GB2312" w:eastAsia="仿宋_GB2312"/>
          <w:sz w:val="30"/>
          <w:szCs w:val="30"/>
        </w:rPr>
        <w:t>造成事故。</w:t>
      </w:r>
    </w:p>
    <w:p>
      <w:pPr>
        <w:pStyle w:val="2"/>
        <w:spacing w:before="0" w:after="0" w:line="600" w:lineRule="exact"/>
        <w:ind w:firstLine="600" w:firstLineChars="200"/>
        <w:rPr>
          <w:rFonts w:ascii="黑体" w:hAnsi="黑体" w:eastAsia="黑体"/>
          <w:b w:val="0"/>
          <w:sz w:val="30"/>
          <w:szCs w:val="30"/>
        </w:rPr>
      </w:pPr>
      <w:r>
        <w:rPr>
          <w:rFonts w:hint="eastAsia" w:ascii="黑体" w:hAnsi="黑体" w:eastAsia="黑体"/>
          <w:b w:val="0"/>
          <w:sz w:val="30"/>
          <w:szCs w:val="30"/>
        </w:rPr>
        <w:t>四、事故造成的人员伤亡和直接经济损失</w:t>
      </w:r>
    </w:p>
    <w:p>
      <w:pPr>
        <w:pStyle w:val="2"/>
        <w:spacing w:before="0" w:after="0" w:line="600" w:lineRule="exact"/>
        <w:ind w:firstLine="600" w:firstLineChars="200"/>
        <w:rPr>
          <w:rFonts w:ascii="仿宋_GB2312" w:eastAsia="仿宋_GB2312"/>
          <w:b w:val="0"/>
          <w:bCs w:val="0"/>
          <w:kern w:val="2"/>
          <w:sz w:val="30"/>
          <w:szCs w:val="30"/>
        </w:rPr>
      </w:pPr>
      <w:r>
        <w:rPr>
          <w:rFonts w:hint="eastAsia" w:ascii="仿宋_GB2312" w:eastAsia="仿宋_GB2312"/>
          <w:b w:val="0"/>
          <w:bCs w:val="0"/>
          <w:kern w:val="2"/>
          <w:sz w:val="30"/>
          <w:szCs w:val="30"/>
        </w:rPr>
        <w:t>（一）死亡人员情况</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张伟，男，39岁，江苏省丰县人，</w:t>
      </w:r>
      <w:bookmarkStart w:id="4" w:name="_GoBack"/>
      <w:bookmarkEnd w:id="4"/>
      <w:r>
        <w:rPr>
          <w:rFonts w:hint="eastAsia" w:ascii="仿宋_GB2312" w:eastAsia="仿宋_GB2312"/>
          <w:sz w:val="30"/>
          <w:szCs w:val="30"/>
        </w:rPr>
        <w:t>隽功劳务合同工，钢结构班组挂钩工。</w:t>
      </w:r>
    </w:p>
    <w:p>
      <w:pPr>
        <w:pStyle w:val="2"/>
        <w:spacing w:before="0" w:after="0" w:line="600" w:lineRule="exact"/>
        <w:ind w:firstLine="600" w:firstLineChars="200"/>
        <w:rPr>
          <w:rFonts w:ascii="楷体_GB2312" w:hAnsi="楷体_GB2312" w:eastAsia="楷体_GB2312" w:cs="楷体_GB2312"/>
          <w:b w:val="0"/>
          <w:sz w:val="30"/>
          <w:szCs w:val="30"/>
        </w:rPr>
      </w:pPr>
      <w:r>
        <w:rPr>
          <w:rFonts w:hint="eastAsia" w:ascii="楷体_GB2312" w:eastAsia="楷体_GB2312"/>
          <w:b w:val="0"/>
          <w:sz w:val="30"/>
          <w:szCs w:val="30"/>
        </w:rPr>
        <w:t>（二）事故直接经济损失生</w:t>
      </w:r>
    </w:p>
    <w:p>
      <w:pPr>
        <w:adjustRightInd w:val="0"/>
        <w:snapToGrid w:val="0"/>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事故造成直接经济损失人民币175万元。</w:t>
      </w:r>
    </w:p>
    <w:p>
      <w:pPr>
        <w:pStyle w:val="2"/>
        <w:spacing w:before="0" w:after="0" w:line="600" w:lineRule="exact"/>
        <w:ind w:firstLine="600" w:firstLineChars="200"/>
        <w:rPr>
          <w:rFonts w:ascii="黑体" w:hAnsi="黑体" w:eastAsia="黑体"/>
          <w:b w:val="0"/>
          <w:sz w:val="30"/>
          <w:szCs w:val="30"/>
        </w:rPr>
      </w:pPr>
      <w:r>
        <w:rPr>
          <w:rFonts w:hint="eastAsia" w:ascii="黑体" w:hAnsi="黑体" w:eastAsia="黑体"/>
          <w:b w:val="0"/>
          <w:sz w:val="30"/>
          <w:szCs w:val="30"/>
        </w:rPr>
        <w:t>五、事故发生原因和事故性质</w:t>
      </w:r>
    </w:p>
    <w:p>
      <w:pPr>
        <w:pStyle w:val="2"/>
        <w:spacing w:before="0" w:after="0" w:line="600" w:lineRule="exact"/>
        <w:ind w:firstLine="600" w:firstLineChars="200"/>
        <w:rPr>
          <w:rFonts w:ascii="楷体_GB2312" w:eastAsia="楷体_GB2312"/>
          <w:b w:val="0"/>
          <w:sz w:val="30"/>
          <w:szCs w:val="30"/>
        </w:rPr>
      </w:pPr>
      <w:r>
        <w:rPr>
          <w:rFonts w:hint="eastAsia" w:ascii="楷体_GB2312" w:eastAsia="楷体_GB2312"/>
          <w:b w:val="0"/>
          <w:sz w:val="30"/>
          <w:szCs w:val="30"/>
        </w:rPr>
        <w:t>（一）事故发生的原因</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1．直接原因</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钢梁起重作业时未按施工方案和夹钳使用说明书要求保证起重钢丝绳夹角在6</w:t>
      </w:r>
      <w:r>
        <w:rPr>
          <w:rFonts w:ascii="仿宋_GB2312" w:eastAsia="仿宋_GB2312"/>
          <w:sz w:val="30"/>
          <w:szCs w:val="30"/>
        </w:rPr>
        <w:t>0</w:t>
      </w:r>
      <w:r>
        <w:rPr>
          <w:rFonts w:hint="eastAsia" w:ascii="仿宋_GB2312" w:eastAsia="仿宋_GB2312"/>
          <w:sz w:val="30"/>
          <w:szCs w:val="30"/>
        </w:rPr>
        <w:t>°以内，且未按要求成对使用相同规格的夹具，导致夹具在起吊过程中受到过大的横向力后向钢梁中间滑动，且滑动幅度严重偏差，钢梁重心失衡后一端下垂后脱钩坠落，坠地反弹后砸到在钢梁斜下方区域避让不及的挂钩工张伟头背部，造成事故。</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2．间接原因</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（1）中南钢构没有按照施工方案要求采用吊耳和卸扣连接方式吊装钢梁，</w:t>
      </w:r>
      <w:bookmarkStart w:id="2" w:name="_Hlk108734174"/>
      <w:r>
        <w:rPr>
          <w:rFonts w:hint="eastAsia" w:ascii="仿宋_GB2312" w:eastAsia="仿宋_GB2312"/>
          <w:sz w:val="30"/>
          <w:szCs w:val="30"/>
        </w:rPr>
        <w:t>改用YC工字钢夹钳后没有变更施工方案，没有进行针对性的风险辨识</w:t>
      </w:r>
      <w:bookmarkEnd w:id="2"/>
      <w:r>
        <w:rPr>
          <w:rFonts w:hint="eastAsia" w:ascii="仿宋_GB2312" w:eastAsia="仿宋_GB2312"/>
          <w:sz w:val="30"/>
          <w:szCs w:val="30"/>
        </w:rPr>
        <w:t>，对施工人员安全教育培训和安全技术交底不到位，没有进行夹具使用要求培训交底，对吊装作业现场安全管理缺失，没有及时发现和制止施工人员钢丝绳选用不当、夹具使用不当的违规行为。</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（2）七建集团项目部对起重吊装作业过程中钢丝绳选用、夹具使用中分风险辨识不到位，吊装作业现场安全管理缺失。</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（3）华城监理监理人员</w:t>
      </w:r>
      <w:bookmarkStart w:id="3" w:name="_Hlk108735506"/>
      <w:r>
        <w:rPr>
          <w:rFonts w:hint="eastAsia" w:ascii="仿宋_GB2312" w:eastAsia="仿宋_GB2312"/>
          <w:sz w:val="30"/>
          <w:szCs w:val="30"/>
        </w:rPr>
        <w:t>对日常巡查中发现施工单位的违规行为，没有及时有效制止和督促整改</w:t>
      </w:r>
      <w:bookmarkEnd w:id="3"/>
      <w:r>
        <w:rPr>
          <w:rFonts w:hint="eastAsia" w:ascii="仿宋_GB2312" w:eastAsia="仿宋_GB2312"/>
          <w:sz w:val="30"/>
          <w:szCs w:val="30"/>
        </w:rPr>
        <w:t>。</w:t>
      </w:r>
    </w:p>
    <w:p>
      <w:pPr>
        <w:pStyle w:val="2"/>
        <w:spacing w:before="0" w:after="0" w:line="600" w:lineRule="exact"/>
        <w:ind w:firstLine="600" w:firstLineChars="200"/>
        <w:rPr>
          <w:rFonts w:ascii="楷体_GB2312" w:eastAsia="楷体_GB2312"/>
          <w:b w:val="0"/>
          <w:sz w:val="30"/>
          <w:szCs w:val="30"/>
        </w:rPr>
      </w:pPr>
      <w:r>
        <w:rPr>
          <w:rFonts w:hint="eastAsia" w:ascii="楷体_GB2312" w:eastAsia="楷体_GB2312"/>
          <w:b w:val="0"/>
          <w:sz w:val="30"/>
          <w:szCs w:val="30"/>
        </w:rPr>
        <w:t>（二）事故性质</w:t>
      </w:r>
    </w:p>
    <w:p>
      <w:pPr>
        <w:adjustRightInd w:val="0"/>
        <w:snapToGrid w:val="0"/>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调查组认为，“1.9”起重伤害事故是一起一般等级生产安全责任事故。</w:t>
      </w:r>
    </w:p>
    <w:p>
      <w:pPr>
        <w:pStyle w:val="2"/>
        <w:spacing w:before="0" w:after="0" w:line="600" w:lineRule="exact"/>
        <w:ind w:firstLine="600" w:firstLineChars="200"/>
        <w:rPr>
          <w:rFonts w:ascii="黑体" w:hAnsi="黑体" w:eastAsia="黑体"/>
          <w:b w:val="0"/>
          <w:bCs w:val="0"/>
          <w:sz w:val="30"/>
          <w:szCs w:val="30"/>
        </w:rPr>
      </w:pPr>
      <w:r>
        <w:rPr>
          <w:rFonts w:hint="eastAsia" w:ascii="黑体" w:hAnsi="黑体" w:eastAsia="黑体"/>
          <w:b w:val="0"/>
          <w:sz w:val="30"/>
          <w:szCs w:val="30"/>
        </w:rPr>
        <w:t>六、事故责任的认定和处理建议：</w:t>
      </w:r>
    </w:p>
    <w:p>
      <w:pPr>
        <w:adjustRightInd w:val="0"/>
        <w:snapToGrid w:val="0"/>
        <w:spacing w:line="600" w:lineRule="exact"/>
        <w:ind w:firstLine="600" w:firstLineChars="200"/>
        <w:rPr>
          <w:rFonts w:ascii="仿宋_GB2312" w:eastAsia="仿宋_GB2312"/>
          <w:sz w:val="30"/>
          <w:szCs w:val="30"/>
        </w:rPr>
      </w:pPr>
      <w:r>
        <w:rPr>
          <w:rFonts w:hint="eastAsia" w:ascii="楷体_GB2312" w:eastAsia="楷体_GB2312"/>
          <w:sz w:val="30"/>
          <w:szCs w:val="30"/>
        </w:rPr>
        <w:t>（一）对事故责任者的责任认定和处理建议</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张洁，七建集团项目经理，在知晓中南钢构未按照吊装专项方案吊装钢梁的情况下没有有效督促变更施工方案，对起重吊装作业过程中钢丝绳选用、夹具使用中分风险辨识不到位，未督促有效落实吊装作业现场安全管理，违反了《中华人民共和国安全生产法》第二十一条第（五）项的规定，对事故的发生负有管理责任，建议区应急管理局依法予以行政处罚。</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2.李良杰，七建集团项目安全员，对起重吊装作业过程中钢丝绳选用、夹具使用中分风险辨识不到位，吊装作业现场安全管理缺失，对事故的发生负有管理责任，建议七建集团依据企业规章制度予以处理。</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3.</w:t>
      </w:r>
      <w:r>
        <w:rPr>
          <w:rFonts w:hint="eastAsia"/>
        </w:rPr>
        <w:t xml:space="preserve"> </w:t>
      </w:r>
      <w:r>
        <w:rPr>
          <w:rFonts w:hint="eastAsia" w:ascii="仿宋_GB2312" w:eastAsia="仿宋_GB2312"/>
          <w:sz w:val="30"/>
          <w:szCs w:val="30"/>
        </w:rPr>
        <w:t>张志超，中南钢构项目经理，未认真履行项目安全管理职责，未督促落实施工方案变更和风险辨识，未督促落实针对性的安全技术交底，违反了《中华人民共和国安全生产法》第二十一条第（三）项、第（五）项的规定，对事故的发生负有管理责任，建议区应急管理局依法予以行政处罚。</w:t>
      </w:r>
    </w:p>
    <w:p>
      <w:pPr>
        <w:adjustRightInd w:val="0"/>
        <w:snapToGrid w:val="0"/>
        <w:spacing w:line="600" w:lineRule="exact"/>
        <w:ind w:firstLine="600" w:firstLineChars="200"/>
        <w:rPr>
          <w:rFonts w:ascii="仿宋_GB2312" w:eastAsia="仿宋_GB2312"/>
          <w:sz w:val="30"/>
          <w:szCs w:val="30"/>
        </w:rPr>
      </w:pPr>
      <w:r>
        <w:rPr>
          <w:rFonts w:ascii="仿宋_GB2312" w:eastAsia="仿宋_GB2312"/>
          <w:sz w:val="30"/>
          <w:szCs w:val="30"/>
        </w:rPr>
        <w:t>4</w:t>
      </w:r>
      <w:r>
        <w:rPr>
          <w:rFonts w:hint="eastAsia" w:ascii="仿宋_GB2312" w:eastAsia="仿宋_GB2312"/>
          <w:sz w:val="30"/>
          <w:szCs w:val="30"/>
        </w:rPr>
        <w:t>.范晨光，中南钢构项目安全员，没有进行针对性的风险辨识，对施工人员安全教育培训和安全技术交底不到位，未落实吊装作业现场安全管理，违反了《中华人民共和国安全生产法》第二十五条第（二）项、第（三）项、第（五）项、第（六）项的规定，对事故的发生负有责任，建议区应急管理局依法予以行政处罚。</w:t>
      </w:r>
    </w:p>
    <w:p>
      <w:pPr>
        <w:adjustRightInd w:val="0"/>
        <w:snapToGrid w:val="0"/>
        <w:spacing w:line="600" w:lineRule="exact"/>
        <w:ind w:firstLine="600" w:firstLineChars="200"/>
        <w:rPr>
          <w:rFonts w:ascii="仿宋_GB2312" w:eastAsia="仿宋_GB2312"/>
          <w:sz w:val="30"/>
          <w:szCs w:val="30"/>
        </w:rPr>
      </w:pPr>
      <w:r>
        <w:rPr>
          <w:rFonts w:ascii="仿宋_GB2312" w:eastAsia="仿宋_GB2312"/>
          <w:sz w:val="30"/>
          <w:szCs w:val="30"/>
        </w:rPr>
        <w:t>5</w:t>
      </w:r>
      <w:r>
        <w:rPr>
          <w:rFonts w:hint="eastAsia" w:ascii="仿宋_GB2312" w:eastAsia="仿宋_GB2312"/>
          <w:sz w:val="30"/>
          <w:szCs w:val="30"/>
        </w:rPr>
        <w:t>.</w:t>
      </w:r>
      <w:r>
        <w:rPr>
          <w:rFonts w:hint="eastAsia"/>
        </w:rPr>
        <w:t xml:space="preserve"> </w:t>
      </w:r>
      <w:r>
        <w:rPr>
          <w:rFonts w:hint="eastAsia" w:ascii="仿宋_GB2312" w:eastAsia="仿宋_GB2312"/>
          <w:sz w:val="30"/>
          <w:szCs w:val="30"/>
        </w:rPr>
        <w:t>周亚明，华城监理项目安全监理。对日常巡查中发现施工单位的违规行为，没有及时有效制止和督促整改，违反了《中华人民共和国安全生产法》第二十五条第（六）项的规定，对事故的发生负有管理责任，建议区应急管理局依法予以行政处罚。</w:t>
      </w:r>
    </w:p>
    <w:p>
      <w:pPr>
        <w:pStyle w:val="3"/>
        <w:snapToGrid w:val="0"/>
        <w:spacing w:before="0" w:after="0" w:line="560" w:lineRule="exact"/>
        <w:ind w:firstLine="600" w:firstLineChars="200"/>
        <w:rPr>
          <w:rFonts w:ascii="楷体_GB2312" w:eastAsia="楷体_GB2312"/>
          <w:b w:val="0"/>
          <w:sz w:val="30"/>
          <w:szCs w:val="30"/>
        </w:rPr>
      </w:pPr>
      <w:r>
        <w:rPr>
          <w:rFonts w:hint="eastAsia" w:ascii="楷体_GB2312" w:eastAsia="楷体_GB2312"/>
          <w:b w:val="0"/>
          <w:sz w:val="30"/>
          <w:szCs w:val="30"/>
        </w:rPr>
        <w:t>（二）对事故单位的责任认定和处理建议</w:t>
      </w:r>
    </w:p>
    <w:p>
      <w:pPr>
        <w:ind w:firstLine="600" w:firstLineChars="200"/>
        <w:rPr>
          <w:rFonts w:ascii="仿宋_GB2312" w:eastAsia="仿宋_GB2312"/>
          <w:sz w:val="30"/>
          <w:szCs w:val="30"/>
        </w:rPr>
      </w:pPr>
      <w:r>
        <w:rPr>
          <w:rFonts w:hint="eastAsia" w:ascii="仿宋_GB2312" w:eastAsia="仿宋_GB2312"/>
          <w:sz w:val="30"/>
          <w:szCs w:val="30"/>
        </w:rPr>
        <w:t>中南钢构没有按照施工方案要求采用吊耳和卸扣连接方式吊装钢梁，改用YC工字钢夹钳后没有变更施工方案，没有进行针对性的风险辨识，对施工人员安全教育培训和安全技术交底不到位，没有进行夹具使用要求培训交底，对吊装作业现场安全管理缺失，没有及时发现和制止施工人员钢丝绳选用不当、夹具使用不当的违规行为，违反了《中华人民共和国安全生产法》第二十九条、第四十一条第二款、第四十三条的规定，对事故的发生负有责任。建议区应急管理局依法予以行政处罚。</w:t>
      </w:r>
    </w:p>
    <w:p>
      <w:pPr>
        <w:pStyle w:val="2"/>
        <w:spacing w:before="0" w:after="0" w:line="600" w:lineRule="exact"/>
        <w:ind w:firstLine="600" w:firstLineChars="200"/>
        <w:rPr>
          <w:rFonts w:ascii="黑体" w:hAnsi="黑体" w:eastAsia="黑体"/>
          <w:b w:val="0"/>
          <w:sz w:val="30"/>
          <w:szCs w:val="30"/>
        </w:rPr>
      </w:pPr>
      <w:r>
        <w:rPr>
          <w:rFonts w:hint="eastAsia" w:ascii="黑体" w:hAnsi="黑体" w:eastAsia="黑体"/>
          <w:b w:val="0"/>
          <w:sz w:val="30"/>
          <w:szCs w:val="30"/>
        </w:rPr>
        <w:t>七、整改防范措施建议</w:t>
      </w:r>
    </w:p>
    <w:p>
      <w:pPr>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一）中南钢构要认真吸取事故教训，进一步加强施工项目管理，进一步加强安全风险隐患排查治理工作，及时发现和消除施工现场存在的安全隐患，针对性的制定完善施工方案；进一步加强从业人员的安全教育培训，告知作业场所和工作岗位存在的危险因素、防范措施以及事故应急措施，使用新设备的，要对从业人员进行专门的安全生产教育和培训；要加强危险作业安全管理，安排专门人员进行现场安全管理，确保操作规程的遵守和安全措施的落实。</w:t>
      </w:r>
    </w:p>
    <w:p>
      <w:pPr>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二）七建集团要进一步强化履行施工项目总承包安全管理责任，进一步加强安全风险分级管控和隐患排查治理工作，及时发现和消除各类的事故隐患；要督促加强危险作业现场安全管理，及时发现和制止违规违章作业行为。</w:t>
      </w:r>
    </w:p>
    <w:p>
      <w:pPr>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（三）</w:t>
      </w:r>
      <w:r>
        <w:rPr>
          <w:rFonts w:hint="eastAsia" w:ascii="仿宋_GB2312" w:eastAsia="仿宋_GB2312"/>
          <w:sz w:val="30"/>
          <w:szCs w:val="30"/>
        </w:rPr>
        <w:t>华城监理要督促监理人员认真履职，巡查发现施工单位的违规行为的，要及时有效制止和督促整改。</w:t>
      </w:r>
    </w:p>
    <w:p>
      <w:pPr>
        <w:adjustRightInd w:val="0"/>
        <w:snapToGrid w:val="0"/>
        <w:spacing w:line="600" w:lineRule="exact"/>
        <w:ind w:firstLine="600" w:firstLineChars="200"/>
        <w:jc w:val="left"/>
        <w:rPr>
          <w:rFonts w:ascii="仿宋_GB2312" w:hAnsi="仿宋_GB2312" w:eastAsia="仿宋_GB2312" w:cs="仿宋_GB2312"/>
          <w:sz w:val="30"/>
          <w:szCs w:val="30"/>
        </w:rPr>
      </w:pPr>
    </w:p>
    <w:p>
      <w:pPr>
        <w:wordWrap w:val="0"/>
        <w:adjustRightInd w:val="0"/>
        <w:snapToGrid w:val="0"/>
        <w:spacing w:line="600" w:lineRule="exact"/>
        <w:ind w:firstLine="600" w:firstLineChars="200"/>
        <w:jc w:val="right"/>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1</w:t>
      </w:r>
      <w:r>
        <w:rPr>
          <w:rFonts w:hint="eastAsia" w:ascii="仿宋_GB2312" w:eastAsia="仿宋_GB2312"/>
          <w:sz w:val="30"/>
          <w:szCs w:val="30"/>
        </w:rPr>
        <w:t>.</w:t>
      </w:r>
      <w:r>
        <w:rPr>
          <w:rFonts w:ascii="仿宋_GB2312" w:eastAsia="仿宋_GB2312"/>
          <w:sz w:val="30"/>
          <w:szCs w:val="30"/>
        </w:rPr>
        <w:t>9</w:t>
      </w:r>
      <w:r>
        <w:rPr>
          <w:rFonts w:hint="eastAsia" w:ascii="仿宋_GB2312" w:eastAsia="仿宋_GB2312"/>
          <w:sz w:val="30"/>
          <w:szCs w:val="30"/>
        </w:rPr>
        <w:t xml:space="preserve">”起重伤害死亡事故调查组   </w:t>
      </w:r>
    </w:p>
    <w:p>
      <w:pPr>
        <w:widowControl/>
        <w:jc w:val="center"/>
        <w:rPr>
          <w:rFonts w:ascii="仿宋_GB2312" w:eastAsia="仿宋_GB2312"/>
          <w:sz w:val="30"/>
          <w:szCs w:val="30"/>
        </w:rPr>
      </w:pPr>
      <w:r>
        <w:rPr>
          <w:rFonts w:hint="eastAsia" w:ascii="仿宋_GB2312" w:eastAsia="仿宋_GB2312"/>
          <w:sz w:val="30"/>
          <w:szCs w:val="30"/>
        </w:rPr>
        <w:t xml:space="preserve">                       2022年</w:t>
      </w:r>
      <w:r>
        <w:rPr>
          <w:rFonts w:ascii="仿宋_GB2312" w:eastAsia="仿宋_GB2312"/>
          <w:sz w:val="30"/>
          <w:szCs w:val="30"/>
        </w:rPr>
        <w:t>7</w:t>
      </w:r>
      <w:r>
        <w:rPr>
          <w:rFonts w:hint="eastAsia" w:ascii="仿宋_GB2312" w:eastAsia="仿宋_GB2312"/>
          <w:sz w:val="30"/>
          <w:szCs w:val="30"/>
        </w:rPr>
        <w:t>月</w:t>
      </w:r>
      <w:r>
        <w:rPr>
          <w:rFonts w:ascii="仿宋_GB2312" w:eastAsia="仿宋_GB2312"/>
          <w:sz w:val="30"/>
          <w:szCs w:val="30"/>
        </w:rPr>
        <w:t>15</w:t>
      </w:r>
      <w:r>
        <w:rPr>
          <w:rFonts w:hint="eastAsia" w:ascii="仿宋_GB2312" w:eastAsia="仿宋_GB2312"/>
          <w:sz w:val="30"/>
          <w:szCs w:val="30"/>
        </w:rPr>
        <w:t>日</w:t>
      </w:r>
    </w:p>
    <w:p>
      <w:pPr>
        <w:spacing w:line="560" w:lineRule="exact"/>
        <w:rPr>
          <w:rFonts w:ascii="仿宋_GB2312" w:eastAsia="仿宋_GB2312"/>
          <w:sz w:val="30"/>
          <w:szCs w:val="30"/>
        </w:rPr>
      </w:pPr>
    </w:p>
    <w:sectPr>
      <w:footerReference r:id="rId3" w:type="default"/>
      <w:footerReference r:id="rId4" w:type="even"/>
      <w:pgSz w:w="11906" w:h="16838"/>
      <w:pgMar w:top="1440" w:right="1797" w:bottom="1440"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Noto Sans Syriac Eastern"/>
    <w:panose1 w:val="02040503050406030204"/>
    <w:charset w:val="00"/>
    <w:family w:val="roman"/>
    <w:pitch w:val="default"/>
    <w:sig w:usb0="00000000" w:usb1="00000000" w:usb2="00000000" w:usb3="00000000" w:csb0="0000019F" w:csb1="00000000"/>
  </w:font>
  <w:font w:name="方正小标宋简体">
    <w:panose1 w:val="02000000000000000000"/>
    <w:charset w:val="86"/>
    <w:family w:val="script"/>
    <w:pitch w:val="default"/>
    <w:sig w:usb0="A00002BF" w:usb1="184F6CFA" w:usb2="00000012" w:usb3="00000000" w:csb0="00040001" w:csb1="00000000"/>
  </w:font>
  <w:font w:name="仿宋_GB2312">
    <w:altName w:val="方正仿宋_GBK"/>
    <w:panose1 w:val="02010609030101010101"/>
    <w:charset w:val="86"/>
    <w:family w:val="modern"/>
    <w:pitch w:val="default"/>
    <w:sig w:usb0="00000000" w:usb1="00000000" w:usb2="00000010" w:usb3="00000000" w:csb0="00040000" w:csb1="00000000"/>
  </w:font>
  <w:font w:name="楷体_GB2312">
    <w:altName w:val="方正楷体_GBK"/>
    <w:panose1 w:val="02010609030101010101"/>
    <w:charset w:val="86"/>
    <w:family w:val="modern"/>
    <w:pitch w:val="default"/>
    <w:sig w:usb0="00000000" w:usb1="00000000" w:usb2="00000010" w:usb3="00000000" w:csb0="00040000" w:csb1="00000000"/>
  </w:font>
  <w:font w:name="微软雅黑">
    <w:altName w:val="方正黑体_GBK"/>
    <w:panose1 w:val="020B0503020204020204"/>
    <w:charset w:val="86"/>
    <w:family w:val="swiss"/>
    <w:pitch w:val="default"/>
    <w:sig w:usb0="00000000" w:usb1="00000000" w:usb2="00000016" w:usb3="00000000" w:csb0="0004001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Noto Sans Syriac Eastern">
    <w:panose1 w:val="02040503050306020203"/>
    <w:charset w:val="86"/>
    <w:family w:val="auto"/>
    <w:pitch w:val="default"/>
    <w:sig w:usb0="00000000" w:usb1="00000000" w:usb2="00000080" w:usb3="00000000" w:csb0="203E0161" w:csb1="D7FF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fldChar w:fldCharType="begin"/>
    </w:r>
    <w:r>
      <w:instrText xml:space="preserve">PAGE   \* MERGEFORMAT</w:instrText>
    </w:r>
    <w:r>
      <w:fldChar w:fldCharType="separate"/>
    </w:r>
    <w:r>
      <w:t>13</w:t>
    </w:r>
    <w:r>
      <w:fldChar w:fldCharType="end"/>
    </w:r>
  </w:p>
  <w:p>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0"/>
      </w:rPr>
    </w:pPr>
    <w:r>
      <w:fldChar w:fldCharType="begin"/>
    </w:r>
    <w:r>
      <w:rPr>
        <w:rStyle w:val="10"/>
      </w:rPr>
      <w:instrText xml:space="preserve">PAGE  </w:instrText>
    </w:r>
    <w:r>
      <w:fldChar w:fldCharType="end"/>
    </w:r>
  </w:p>
  <w:p>
    <w:pPr>
      <w:pStyle w:val="6"/>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true"/>
  <w:characterSpacingControl w:val="compressPunctuation"/>
  <w:doNotValidateAgainstSchema/>
  <w:doNotDemarcateInvalidXml/>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3A1"/>
    <w:rsid w:val="00002661"/>
    <w:rsid w:val="0000319A"/>
    <w:rsid w:val="00003B3D"/>
    <w:rsid w:val="00003E0B"/>
    <w:rsid w:val="00004B85"/>
    <w:rsid w:val="00007F45"/>
    <w:rsid w:val="00013540"/>
    <w:rsid w:val="00014DEC"/>
    <w:rsid w:val="000157EB"/>
    <w:rsid w:val="00017BB1"/>
    <w:rsid w:val="00017C37"/>
    <w:rsid w:val="00017CF1"/>
    <w:rsid w:val="00025299"/>
    <w:rsid w:val="0002585A"/>
    <w:rsid w:val="0002715C"/>
    <w:rsid w:val="0002799D"/>
    <w:rsid w:val="00027D39"/>
    <w:rsid w:val="0003366A"/>
    <w:rsid w:val="00034C40"/>
    <w:rsid w:val="00037E98"/>
    <w:rsid w:val="000410AD"/>
    <w:rsid w:val="000415B8"/>
    <w:rsid w:val="00041FD2"/>
    <w:rsid w:val="00044739"/>
    <w:rsid w:val="00050B73"/>
    <w:rsid w:val="0005390F"/>
    <w:rsid w:val="00056A29"/>
    <w:rsid w:val="000574DA"/>
    <w:rsid w:val="000612A6"/>
    <w:rsid w:val="00061D27"/>
    <w:rsid w:val="00063F72"/>
    <w:rsid w:val="0007106B"/>
    <w:rsid w:val="000722CC"/>
    <w:rsid w:val="0007235B"/>
    <w:rsid w:val="000726B6"/>
    <w:rsid w:val="00074BA4"/>
    <w:rsid w:val="0007659B"/>
    <w:rsid w:val="00077089"/>
    <w:rsid w:val="00077186"/>
    <w:rsid w:val="00084D7A"/>
    <w:rsid w:val="00084EE2"/>
    <w:rsid w:val="000852EE"/>
    <w:rsid w:val="0008571F"/>
    <w:rsid w:val="00087C55"/>
    <w:rsid w:val="00087C80"/>
    <w:rsid w:val="00087DFE"/>
    <w:rsid w:val="00091FFC"/>
    <w:rsid w:val="0009521C"/>
    <w:rsid w:val="000A137C"/>
    <w:rsid w:val="000A17B0"/>
    <w:rsid w:val="000A35D0"/>
    <w:rsid w:val="000A73F7"/>
    <w:rsid w:val="000B1F10"/>
    <w:rsid w:val="000B68E8"/>
    <w:rsid w:val="000B6DB6"/>
    <w:rsid w:val="000B6EDA"/>
    <w:rsid w:val="000B772E"/>
    <w:rsid w:val="000C4ECD"/>
    <w:rsid w:val="000D2051"/>
    <w:rsid w:val="000D39BB"/>
    <w:rsid w:val="000D41A8"/>
    <w:rsid w:val="000D574F"/>
    <w:rsid w:val="000E1905"/>
    <w:rsid w:val="000E4344"/>
    <w:rsid w:val="000E454B"/>
    <w:rsid w:val="000E5523"/>
    <w:rsid w:val="000E56FC"/>
    <w:rsid w:val="000E5985"/>
    <w:rsid w:val="000E6ACC"/>
    <w:rsid w:val="000F32C5"/>
    <w:rsid w:val="00101EA2"/>
    <w:rsid w:val="00105A31"/>
    <w:rsid w:val="001079F6"/>
    <w:rsid w:val="00110C37"/>
    <w:rsid w:val="00112A99"/>
    <w:rsid w:val="0011550E"/>
    <w:rsid w:val="00116E9E"/>
    <w:rsid w:val="001204FC"/>
    <w:rsid w:val="00120E98"/>
    <w:rsid w:val="00124656"/>
    <w:rsid w:val="001259CB"/>
    <w:rsid w:val="0012607C"/>
    <w:rsid w:val="00131486"/>
    <w:rsid w:val="001337F3"/>
    <w:rsid w:val="001339DB"/>
    <w:rsid w:val="001341DD"/>
    <w:rsid w:val="00134960"/>
    <w:rsid w:val="00134B16"/>
    <w:rsid w:val="00135514"/>
    <w:rsid w:val="001368CD"/>
    <w:rsid w:val="001372F4"/>
    <w:rsid w:val="0013750E"/>
    <w:rsid w:val="00140D94"/>
    <w:rsid w:val="001430FE"/>
    <w:rsid w:val="001450E8"/>
    <w:rsid w:val="00145644"/>
    <w:rsid w:val="00145C14"/>
    <w:rsid w:val="00147468"/>
    <w:rsid w:val="00147E5B"/>
    <w:rsid w:val="00152098"/>
    <w:rsid w:val="0015349F"/>
    <w:rsid w:val="00154DCE"/>
    <w:rsid w:val="00164AD6"/>
    <w:rsid w:val="00166E30"/>
    <w:rsid w:val="00170C89"/>
    <w:rsid w:val="00172A27"/>
    <w:rsid w:val="0018293B"/>
    <w:rsid w:val="00184C95"/>
    <w:rsid w:val="00186361"/>
    <w:rsid w:val="00191D69"/>
    <w:rsid w:val="001933FC"/>
    <w:rsid w:val="0019353E"/>
    <w:rsid w:val="00196B8B"/>
    <w:rsid w:val="001A2E2D"/>
    <w:rsid w:val="001A3993"/>
    <w:rsid w:val="001A431C"/>
    <w:rsid w:val="001A4A73"/>
    <w:rsid w:val="001A5663"/>
    <w:rsid w:val="001A5B0E"/>
    <w:rsid w:val="001A69BD"/>
    <w:rsid w:val="001B04C2"/>
    <w:rsid w:val="001B350D"/>
    <w:rsid w:val="001B627C"/>
    <w:rsid w:val="001C5CE8"/>
    <w:rsid w:val="001C750A"/>
    <w:rsid w:val="001C78EE"/>
    <w:rsid w:val="001D5692"/>
    <w:rsid w:val="001D5E6F"/>
    <w:rsid w:val="001E5C8B"/>
    <w:rsid w:val="001F04F8"/>
    <w:rsid w:val="001F094D"/>
    <w:rsid w:val="001F33C5"/>
    <w:rsid w:val="001F4D5E"/>
    <w:rsid w:val="001F65E6"/>
    <w:rsid w:val="001F7ABF"/>
    <w:rsid w:val="00200F44"/>
    <w:rsid w:val="002013A5"/>
    <w:rsid w:val="0020338B"/>
    <w:rsid w:val="00206B9B"/>
    <w:rsid w:val="00211390"/>
    <w:rsid w:val="00215018"/>
    <w:rsid w:val="00215C6C"/>
    <w:rsid w:val="002165D1"/>
    <w:rsid w:val="00216A8A"/>
    <w:rsid w:val="00220597"/>
    <w:rsid w:val="00220DC4"/>
    <w:rsid w:val="00221F43"/>
    <w:rsid w:val="0022298E"/>
    <w:rsid w:val="00222E63"/>
    <w:rsid w:val="0022436C"/>
    <w:rsid w:val="00227DEB"/>
    <w:rsid w:val="002302D5"/>
    <w:rsid w:val="00231D4C"/>
    <w:rsid w:val="0023355B"/>
    <w:rsid w:val="00234376"/>
    <w:rsid w:val="00236733"/>
    <w:rsid w:val="00240076"/>
    <w:rsid w:val="002444F2"/>
    <w:rsid w:val="0024708E"/>
    <w:rsid w:val="00247090"/>
    <w:rsid w:val="00250F2D"/>
    <w:rsid w:val="00251EF3"/>
    <w:rsid w:val="00252E9B"/>
    <w:rsid w:val="0025354E"/>
    <w:rsid w:val="00254BA9"/>
    <w:rsid w:val="002556CC"/>
    <w:rsid w:val="00255932"/>
    <w:rsid w:val="002566B4"/>
    <w:rsid w:val="00256863"/>
    <w:rsid w:val="00261A87"/>
    <w:rsid w:val="00263168"/>
    <w:rsid w:val="0026475B"/>
    <w:rsid w:val="00264C78"/>
    <w:rsid w:val="00265F38"/>
    <w:rsid w:val="00266249"/>
    <w:rsid w:val="00274BD9"/>
    <w:rsid w:val="00275D73"/>
    <w:rsid w:val="00282297"/>
    <w:rsid w:val="002871D6"/>
    <w:rsid w:val="00287F2A"/>
    <w:rsid w:val="00292280"/>
    <w:rsid w:val="002938C8"/>
    <w:rsid w:val="00297438"/>
    <w:rsid w:val="002978AE"/>
    <w:rsid w:val="002A29C3"/>
    <w:rsid w:val="002A33AA"/>
    <w:rsid w:val="002B4A0B"/>
    <w:rsid w:val="002B650B"/>
    <w:rsid w:val="002B788B"/>
    <w:rsid w:val="002C339B"/>
    <w:rsid w:val="002C544C"/>
    <w:rsid w:val="002C7C28"/>
    <w:rsid w:val="002C7DCF"/>
    <w:rsid w:val="002C7FBC"/>
    <w:rsid w:val="002D0FE9"/>
    <w:rsid w:val="002D1840"/>
    <w:rsid w:val="002D2821"/>
    <w:rsid w:val="002D53B3"/>
    <w:rsid w:val="002D5A1B"/>
    <w:rsid w:val="002D6C2B"/>
    <w:rsid w:val="002E05E8"/>
    <w:rsid w:val="002E45C2"/>
    <w:rsid w:val="002E676E"/>
    <w:rsid w:val="002E7127"/>
    <w:rsid w:val="002E7C53"/>
    <w:rsid w:val="002E7E90"/>
    <w:rsid w:val="002F05AF"/>
    <w:rsid w:val="002F3956"/>
    <w:rsid w:val="002F6AB1"/>
    <w:rsid w:val="002F7883"/>
    <w:rsid w:val="00300B43"/>
    <w:rsid w:val="00301B74"/>
    <w:rsid w:val="003027F5"/>
    <w:rsid w:val="0030721B"/>
    <w:rsid w:val="003162E9"/>
    <w:rsid w:val="00316460"/>
    <w:rsid w:val="0031679B"/>
    <w:rsid w:val="00322078"/>
    <w:rsid w:val="00325281"/>
    <w:rsid w:val="00327E05"/>
    <w:rsid w:val="00332FB9"/>
    <w:rsid w:val="00334DA0"/>
    <w:rsid w:val="00334F92"/>
    <w:rsid w:val="003368A7"/>
    <w:rsid w:val="0034118A"/>
    <w:rsid w:val="00341A93"/>
    <w:rsid w:val="00341AA8"/>
    <w:rsid w:val="00346681"/>
    <w:rsid w:val="00353AFB"/>
    <w:rsid w:val="00355DCD"/>
    <w:rsid w:val="00357E67"/>
    <w:rsid w:val="0036302F"/>
    <w:rsid w:val="00366468"/>
    <w:rsid w:val="00366C90"/>
    <w:rsid w:val="00372EE6"/>
    <w:rsid w:val="00374089"/>
    <w:rsid w:val="003741AA"/>
    <w:rsid w:val="0038104E"/>
    <w:rsid w:val="00382084"/>
    <w:rsid w:val="0038476E"/>
    <w:rsid w:val="00384B7F"/>
    <w:rsid w:val="0039138C"/>
    <w:rsid w:val="00391B6A"/>
    <w:rsid w:val="00393260"/>
    <w:rsid w:val="00393C45"/>
    <w:rsid w:val="00393FF1"/>
    <w:rsid w:val="003A351B"/>
    <w:rsid w:val="003A6EE8"/>
    <w:rsid w:val="003A768F"/>
    <w:rsid w:val="003A7D58"/>
    <w:rsid w:val="003B0FC8"/>
    <w:rsid w:val="003B1D10"/>
    <w:rsid w:val="003B205A"/>
    <w:rsid w:val="003B27F8"/>
    <w:rsid w:val="003B6FAF"/>
    <w:rsid w:val="003C0B61"/>
    <w:rsid w:val="003C21BA"/>
    <w:rsid w:val="003C4C59"/>
    <w:rsid w:val="003C4DA3"/>
    <w:rsid w:val="003C5DC0"/>
    <w:rsid w:val="003C6DB0"/>
    <w:rsid w:val="003C7E1B"/>
    <w:rsid w:val="003D4F40"/>
    <w:rsid w:val="003D74CE"/>
    <w:rsid w:val="003D77B7"/>
    <w:rsid w:val="003E1D0A"/>
    <w:rsid w:val="003F27B8"/>
    <w:rsid w:val="003F3AE9"/>
    <w:rsid w:val="003F4EA9"/>
    <w:rsid w:val="00400EEA"/>
    <w:rsid w:val="004022F5"/>
    <w:rsid w:val="00402EFC"/>
    <w:rsid w:val="00407E4F"/>
    <w:rsid w:val="00411F2E"/>
    <w:rsid w:val="00414EAE"/>
    <w:rsid w:val="0041640F"/>
    <w:rsid w:val="00421253"/>
    <w:rsid w:val="0042443F"/>
    <w:rsid w:val="00426851"/>
    <w:rsid w:val="00426CC1"/>
    <w:rsid w:val="00427B0E"/>
    <w:rsid w:val="00433355"/>
    <w:rsid w:val="0043641D"/>
    <w:rsid w:val="00436EF1"/>
    <w:rsid w:val="00441EEF"/>
    <w:rsid w:val="00442A88"/>
    <w:rsid w:val="00443171"/>
    <w:rsid w:val="00444848"/>
    <w:rsid w:val="0044664B"/>
    <w:rsid w:val="00451B8F"/>
    <w:rsid w:val="0045211E"/>
    <w:rsid w:val="00457DE8"/>
    <w:rsid w:val="00457F73"/>
    <w:rsid w:val="00461EED"/>
    <w:rsid w:val="00465627"/>
    <w:rsid w:val="004727D2"/>
    <w:rsid w:val="004749CF"/>
    <w:rsid w:val="00475284"/>
    <w:rsid w:val="00475C8C"/>
    <w:rsid w:val="00476DA4"/>
    <w:rsid w:val="00476F41"/>
    <w:rsid w:val="0048051A"/>
    <w:rsid w:val="00480AD9"/>
    <w:rsid w:val="0048597B"/>
    <w:rsid w:val="00491E19"/>
    <w:rsid w:val="00491F87"/>
    <w:rsid w:val="00492709"/>
    <w:rsid w:val="00493489"/>
    <w:rsid w:val="00493BE5"/>
    <w:rsid w:val="0049462C"/>
    <w:rsid w:val="00495702"/>
    <w:rsid w:val="004958FA"/>
    <w:rsid w:val="00496AF4"/>
    <w:rsid w:val="004A0BC8"/>
    <w:rsid w:val="004A4F21"/>
    <w:rsid w:val="004A6383"/>
    <w:rsid w:val="004A68F3"/>
    <w:rsid w:val="004A7DF8"/>
    <w:rsid w:val="004B081F"/>
    <w:rsid w:val="004B1875"/>
    <w:rsid w:val="004B2B37"/>
    <w:rsid w:val="004B41FF"/>
    <w:rsid w:val="004B7205"/>
    <w:rsid w:val="004C2139"/>
    <w:rsid w:val="004D180B"/>
    <w:rsid w:val="004D1F11"/>
    <w:rsid w:val="004E0CF3"/>
    <w:rsid w:val="004E219E"/>
    <w:rsid w:val="004E4E07"/>
    <w:rsid w:val="004E6D48"/>
    <w:rsid w:val="004F29F8"/>
    <w:rsid w:val="004F5E98"/>
    <w:rsid w:val="004F6054"/>
    <w:rsid w:val="00500075"/>
    <w:rsid w:val="00502014"/>
    <w:rsid w:val="00502C1B"/>
    <w:rsid w:val="00506317"/>
    <w:rsid w:val="0050694F"/>
    <w:rsid w:val="00507A6B"/>
    <w:rsid w:val="005110C8"/>
    <w:rsid w:val="0051165E"/>
    <w:rsid w:val="00511813"/>
    <w:rsid w:val="00515224"/>
    <w:rsid w:val="00516839"/>
    <w:rsid w:val="00517308"/>
    <w:rsid w:val="00517499"/>
    <w:rsid w:val="005175D7"/>
    <w:rsid w:val="0052266C"/>
    <w:rsid w:val="005254CB"/>
    <w:rsid w:val="00525991"/>
    <w:rsid w:val="0053014C"/>
    <w:rsid w:val="00531043"/>
    <w:rsid w:val="005328A4"/>
    <w:rsid w:val="00532BC7"/>
    <w:rsid w:val="00534E90"/>
    <w:rsid w:val="00537189"/>
    <w:rsid w:val="005374B7"/>
    <w:rsid w:val="0054052C"/>
    <w:rsid w:val="00541965"/>
    <w:rsid w:val="0054271F"/>
    <w:rsid w:val="00544066"/>
    <w:rsid w:val="005454F8"/>
    <w:rsid w:val="00545C38"/>
    <w:rsid w:val="00545D66"/>
    <w:rsid w:val="00545D90"/>
    <w:rsid w:val="00550F22"/>
    <w:rsid w:val="00552BC6"/>
    <w:rsid w:val="00555024"/>
    <w:rsid w:val="0056006F"/>
    <w:rsid w:val="00561C54"/>
    <w:rsid w:val="00564030"/>
    <w:rsid w:val="005659B0"/>
    <w:rsid w:val="005659B4"/>
    <w:rsid w:val="005667B9"/>
    <w:rsid w:val="005671BD"/>
    <w:rsid w:val="005702D7"/>
    <w:rsid w:val="00570FC2"/>
    <w:rsid w:val="00573258"/>
    <w:rsid w:val="00575D3A"/>
    <w:rsid w:val="005760C9"/>
    <w:rsid w:val="0057732B"/>
    <w:rsid w:val="00577AD6"/>
    <w:rsid w:val="00577FD8"/>
    <w:rsid w:val="00582C94"/>
    <w:rsid w:val="005831FA"/>
    <w:rsid w:val="0058627B"/>
    <w:rsid w:val="00593E40"/>
    <w:rsid w:val="00595B24"/>
    <w:rsid w:val="005979E6"/>
    <w:rsid w:val="005A1E6F"/>
    <w:rsid w:val="005A2FD9"/>
    <w:rsid w:val="005A427D"/>
    <w:rsid w:val="005A792C"/>
    <w:rsid w:val="005B1DC2"/>
    <w:rsid w:val="005B3DE7"/>
    <w:rsid w:val="005B3F9D"/>
    <w:rsid w:val="005B45EE"/>
    <w:rsid w:val="005B4C6D"/>
    <w:rsid w:val="005B5601"/>
    <w:rsid w:val="005B5C5B"/>
    <w:rsid w:val="005B6486"/>
    <w:rsid w:val="005C0B1D"/>
    <w:rsid w:val="005C47BD"/>
    <w:rsid w:val="005C495E"/>
    <w:rsid w:val="005C575B"/>
    <w:rsid w:val="005C5C42"/>
    <w:rsid w:val="005C7699"/>
    <w:rsid w:val="005C7733"/>
    <w:rsid w:val="005D01F3"/>
    <w:rsid w:val="005D10D9"/>
    <w:rsid w:val="005D1CB2"/>
    <w:rsid w:val="005D479B"/>
    <w:rsid w:val="005E0AD2"/>
    <w:rsid w:val="005E2882"/>
    <w:rsid w:val="005E5AC4"/>
    <w:rsid w:val="005E6116"/>
    <w:rsid w:val="005E7B2E"/>
    <w:rsid w:val="005F1354"/>
    <w:rsid w:val="005F177C"/>
    <w:rsid w:val="005F2055"/>
    <w:rsid w:val="005F4509"/>
    <w:rsid w:val="005F52BC"/>
    <w:rsid w:val="0060055A"/>
    <w:rsid w:val="00600874"/>
    <w:rsid w:val="00604D63"/>
    <w:rsid w:val="00605A1A"/>
    <w:rsid w:val="00605E41"/>
    <w:rsid w:val="0060782C"/>
    <w:rsid w:val="00607A43"/>
    <w:rsid w:val="00610CC6"/>
    <w:rsid w:val="00610D54"/>
    <w:rsid w:val="0061139A"/>
    <w:rsid w:val="006121C3"/>
    <w:rsid w:val="0061245C"/>
    <w:rsid w:val="006133C4"/>
    <w:rsid w:val="00614238"/>
    <w:rsid w:val="00615382"/>
    <w:rsid w:val="00615399"/>
    <w:rsid w:val="00615D36"/>
    <w:rsid w:val="006201BE"/>
    <w:rsid w:val="00623415"/>
    <w:rsid w:val="006241D0"/>
    <w:rsid w:val="00625FE7"/>
    <w:rsid w:val="0062722B"/>
    <w:rsid w:val="006309AE"/>
    <w:rsid w:val="00630E4F"/>
    <w:rsid w:val="00631D14"/>
    <w:rsid w:val="006360E5"/>
    <w:rsid w:val="00641B51"/>
    <w:rsid w:val="00641D2D"/>
    <w:rsid w:val="006420DD"/>
    <w:rsid w:val="00643333"/>
    <w:rsid w:val="006440DD"/>
    <w:rsid w:val="00651610"/>
    <w:rsid w:val="00652D28"/>
    <w:rsid w:val="00660615"/>
    <w:rsid w:val="00663ACF"/>
    <w:rsid w:val="006645BC"/>
    <w:rsid w:val="006651A5"/>
    <w:rsid w:val="00673A95"/>
    <w:rsid w:val="00676A6F"/>
    <w:rsid w:val="0068765D"/>
    <w:rsid w:val="006901AB"/>
    <w:rsid w:val="006904AC"/>
    <w:rsid w:val="0069089F"/>
    <w:rsid w:val="006945B6"/>
    <w:rsid w:val="006A0370"/>
    <w:rsid w:val="006A11D0"/>
    <w:rsid w:val="006A1740"/>
    <w:rsid w:val="006A19DE"/>
    <w:rsid w:val="006A1CBE"/>
    <w:rsid w:val="006A4A47"/>
    <w:rsid w:val="006A5387"/>
    <w:rsid w:val="006B08E0"/>
    <w:rsid w:val="006B20D4"/>
    <w:rsid w:val="006B6502"/>
    <w:rsid w:val="006B659B"/>
    <w:rsid w:val="006C19E2"/>
    <w:rsid w:val="006C2096"/>
    <w:rsid w:val="006C2F09"/>
    <w:rsid w:val="006C3071"/>
    <w:rsid w:val="006C3245"/>
    <w:rsid w:val="006D1282"/>
    <w:rsid w:val="006D31E5"/>
    <w:rsid w:val="006D39DF"/>
    <w:rsid w:val="006D7EF6"/>
    <w:rsid w:val="006E2CDA"/>
    <w:rsid w:val="006E3022"/>
    <w:rsid w:val="006E3218"/>
    <w:rsid w:val="006E4728"/>
    <w:rsid w:val="006E51DF"/>
    <w:rsid w:val="006E5E6C"/>
    <w:rsid w:val="006F1680"/>
    <w:rsid w:val="006F1C1F"/>
    <w:rsid w:val="006F4FDB"/>
    <w:rsid w:val="00705CEC"/>
    <w:rsid w:val="007078E6"/>
    <w:rsid w:val="007163B6"/>
    <w:rsid w:val="00720BE2"/>
    <w:rsid w:val="00721122"/>
    <w:rsid w:val="00721C83"/>
    <w:rsid w:val="00724AF0"/>
    <w:rsid w:val="007264DA"/>
    <w:rsid w:val="0072756F"/>
    <w:rsid w:val="007302F6"/>
    <w:rsid w:val="007323D4"/>
    <w:rsid w:val="00732B04"/>
    <w:rsid w:val="00734D04"/>
    <w:rsid w:val="007362C6"/>
    <w:rsid w:val="007378ED"/>
    <w:rsid w:val="0074043A"/>
    <w:rsid w:val="00740E10"/>
    <w:rsid w:val="0074136F"/>
    <w:rsid w:val="00743101"/>
    <w:rsid w:val="007442C8"/>
    <w:rsid w:val="007448DC"/>
    <w:rsid w:val="00744B33"/>
    <w:rsid w:val="007454A2"/>
    <w:rsid w:val="00747768"/>
    <w:rsid w:val="007479C6"/>
    <w:rsid w:val="00750C58"/>
    <w:rsid w:val="0075118F"/>
    <w:rsid w:val="00751E3C"/>
    <w:rsid w:val="0075270E"/>
    <w:rsid w:val="00755DE4"/>
    <w:rsid w:val="00757232"/>
    <w:rsid w:val="00760019"/>
    <w:rsid w:val="00765422"/>
    <w:rsid w:val="00767F6E"/>
    <w:rsid w:val="00772F77"/>
    <w:rsid w:val="00773C4E"/>
    <w:rsid w:val="00773C69"/>
    <w:rsid w:val="00774AFC"/>
    <w:rsid w:val="00776A5C"/>
    <w:rsid w:val="00780240"/>
    <w:rsid w:val="007819B1"/>
    <w:rsid w:val="00781AD4"/>
    <w:rsid w:val="00783208"/>
    <w:rsid w:val="00785CE7"/>
    <w:rsid w:val="0078663B"/>
    <w:rsid w:val="00786F05"/>
    <w:rsid w:val="00790508"/>
    <w:rsid w:val="00791EB5"/>
    <w:rsid w:val="0079223F"/>
    <w:rsid w:val="00792FB8"/>
    <w:rsid w:val="00793E55"/>
    <w:rsid w:val="00795985"/>
    <w:rsid w:val="00795A57"/>
    <w:rsid w:val="00797293"/>
    <w:rsid w:val="007A0722"/>
    <w:rsid w:val="007A23F0"/>
    <w:rsid w:val="007A3F89"/>
    <w:rsid w:val="007A415E"/>
    <w:rsid w:val="007A6189"/>
    <w:rsid w:val="007A6D4F"/>
    <w:rsid w:val="007B1A0D"/>
    <w:rsid w:val="007B4F72"/>
    <w:rsid w:val="007B62BA"/>
    <w:rsid w:val="007B72D6"/>
    <w:rsid w:val="007C32D1"/>
    <w:rsid w:val="007C635D"/>
    <w:rsid w:val="007D03BD"/>
    <w:rsid w:val="007D0D07"/>
    <w:rsid w:val="007D3A5B"/>
    <w:rsid w:val="007D7A87"/>
    <w:rsid w:val="007D7B36"/>
    <w:rsid w:val="007E170A"/>
    <w:rsid w:val="007E32F6"/>
    <w:rsid w:val="007E4A2B"/>
    <w:rsid w:val="007F0D97"/>
    <w:rsid w:val="007F2E40"/>
    <w:rsid w:val="007F4188"/>
    <w:rsid w:val="007F66F2"/>
    <w:rsid w:val="007F7762"/>
    <w:rsid w:val="007F7D9D"/>
    <w:rsid w:val="008006F6"/>
    <w:rsid w:val="00801F52"/>
    <w:rsid w:val="00807C55"/>
    <w:rsid w:val="008114C6"/>
    <w:rsid w:val="008131BC"/>
    <w:rsid w:val="0081395E"/>
    <w:rsid w:val="008154C2"/>
    <w:rsid w:val="008207CB"/>
    <w:rsid w:val="00821D1A"/>
    <w:rsid w:val="00821E26"/>
    <w:rsid w:val="00822B16"/>
    <w:rsid w:val="0082343B"/>
    <w:rsid w:val="0082532A"/>
    <w:rsid w:val="008262D8"/>
    <w:rsid w:val="0082767D"/>
    <w:rsid w:val="008335A3"/>
    <w:rsid w:val="0083558C"/>
    <w:rsid w:val="00837AB0"/>
    <w:rsid w:val="0084438F"/>
    <w:rsid w:val="008546F4"/>
    <w:rsid w:val="0085601D"/>
    <w:rsid w:val="00857378"/>
    <w:rsid w:val="008603A4"/>
    <w:rsid w:val="008603A8"/>
    <w:rsid w:val="00862BA5"/>
    <w:rsid w:val="0086728A"/>
    <w:rsid w:val="00870509"/>
    <w:rsid w:val="00875072"/>
    <w:rsid w:val="008750A8"/>
    <w:rsid w:val="00881B0C"/>
    <w:rsid w:val="00884050"/>
    <w:rsid w:val="00884162"/>
    <w:rsid w:val="008846EA"/>
    <w:rsid w:val="00884E17"/>
    <w:rsid w:val="008920DF"/>
    <w:rsid w:val="00892C1F"/>
    <w:rsid w:val="008948D2"/>
    <w:rsid w:val="00897C6F"/>
    <w:rsid w:val="008A37DC"/>
    <w:rsid w:val="008A577D"/>
    <w:rsid w:val="008A5A25"/>
    <w:rsid w:val="008A7F8E"/>
    <w:rsid w:val="008B2A3B"/>
    <w:rsid w:val="008B51C8"/>
    <w:rsid w:val="008B5721"/>
    <w:rsid w:val="008B6EA9"/>
    <w:rsid w:val="008B70DC"/>
    <w:rsid w:val="008B7160"/>
    <w:rsid w:val="008C2BB8"/>
    <w:rsid w:val="008C4886"/>
    <w:rsid w:val="008C4CF3"/>
    <w:rsid w:val="008D2370"/>
    <w:rsid w:val="008D5F7D"/>
    <w:rsid w:val="008D67D6"/>
    <w:rsid w:val="008D69E6"/>
    <w:rsid w:val="008D6DA1"/>
    <w:rsid w:val="008E1BD9"/>
    <w:rsid w:val="008E6AD4"/>
    <w:rsid w:val="008E76FD"/>
    <w:rsid w:val="008E7EF1"/>
    <w:rsid w:val="008F1E41"/>
    <w:rsid w:val="008F24AD"/>
    <w:rsid w:val="008F39C3"/>
    <w:rsid w:val="008F3C61"/>
    <w:rsid w:val="008F7638"/>
    <w:rsid w:val="009007B6"/>
    <w:rsid w:val="00907883"/>
    <w:rsid w:val="009111A0"/>
    <w:rsid w:val="0091164B"/>
    <w:rsid w:val="00911F8E"/>
    <w:rsid w:val="00912CAE"/>
    <w:rsid w:val="009144F7"/>
    <w:rsid w:val="00921C17"/>
    <w:rsid w:val="00924AC3"/>
    <w:rsid w:val="00924D8A"/>
    <w:rsid w:val="00924FBF"/>
    <w:rsid w:val="00930EBD"/>
    <w:rsid w:val="00933ED4"/>
    <w:rsid w:val="0094058A"/>
    <w:rsid w:val="00942A99"/>
    <w:rsid w:val="009435E7"/>
    <w:rsid w:val="00943826"/>
    <w:rsid w:val="00945C87"/>
    <w:rsid w:val="00946039"/>
    <w:rsid w:val="0094727E"/>
    <w:rsid w:val="009503F6"/>
    <w:rsid w:val="00950603"/>
    <w:rsid w:val="00950D33"/>
    <w:rsid w:val="009548E9"/>
    <w:rsid w:val="00955A21"/>
    <w:rsid w:val="00957104"/>
    <w:rsid w:val="009573C2"/>
    <w:rsid w:val="00960828"/>
    <w:rsid w:val="00960892"/>
    <w:rsid w:val="00961EEB"/>
    <w:rsid w:val="00964E3B"/>
    <w:rsid w:val="00965CF4"/>
    <w:rsid w:val="009714F8"/>
    <w:rsid w:val="00971E4D"/>
    <w:rsid w:val="0097224E"/>
    <w:rsid w:val="009731D6"/>
    <w:rsid w:val="00976D0E"/>
    <w:rsid w:val="00991879"/>
    <w:rsid w:val="00991D56"/>
    <w:rsid w:val="00992C91"/>
    <w:rsid w:val="00993016"/>
    <w:rsid w:val="009948F2"/>
    <w:rsid w:val="00994F83"/>
    <w:rsid w:val="0099788B"/>
    <w:rsid w:val="00997C4D"/>
    <w:rsid w:val="009A0B61"/>
    <w:rsid w:val="009A14A6"/>
    <w:rsid w:val="009A2421"/>
    <w:rsid w:val="009A2C05"/>
    <w:rsid w:val="009A36FA"/>
    <w:rsid w:val="009A3AE4"/>
    <w:rsid w:val="009A5394"/>
    <w:rsid w:val="009A5E01"/>
    <w:rsid w:val="009A65B6"/>
    <w:rsid w:val="009B0F9D"/>
    <w:rsid w:val="009B577A"/>
    <w:rsid w:val="009B6436"/>
    <w:rsid w:val="009C122D"/>
    <w:rsid w:val="009C7813"/>
    <w:rsid w:val="009C7E6B"/>
    <w:rsid w:val="009D3FC8"/>
    <w:rsid w:val="009D553C"/>
    <w:rsid w:val="009D5688"/>
    <w:rsid w:val="009D572C"/>
    <w:rsid w:val="009D5E68"/>
    <w:rsid w:val="009D6490"/>
    <w:rsid w:val="009D677B"/>
    <w:rsid w:val="009D799E"/>
    <w:rsid w:val="009D7F5E"/>
    <w:rsid w:val="009E0461"/>
    <w:rsid w:val="009E3625"/>
    <w:rsid w:val="009F10A1"/>
    <w:rsid w:val="009F1EEF"/>
    <w:rsid w:val="009F2AF0"/>
    <w:rsid w:val="00A00341"/>
    <w:rsid w:val="00A02469"/>
    <w:rsid w:val="00A0259D"/>
    <w:rsid w:val="00A049FF"/>
    <w:rsid w:val="00A05DCC"/>
    <w:rsid w:val="00A0661F"/>
    <w:rsid w:val="00A067AA"/>
    <w:rsid w:val="00A13ACF"/>
    <w:rsid w:val="00A13B4E"/>
    <w:rsid w:val="00A226B0"/>
    <w:rsid w:val="00A235C0"/>
    <w:rsid w:val="00A24A6C"/>
    <w:rsid w:val="00A31A1D"/>
    <w:rsid w:val="00A31A45"/>
    <w:rsid w:val="00A3426A"/>
    <w:rsid w:val="00A35259"/>
    <w:rsid w:val="00A409DF"/>
    <w:rsid w:val="00A41A50"/>
    <w:rsid w:val="00A4702F"/>
    <w:rsid w:val="00A57C98"/>
    <w:rsid w:val="00A6034F"/>
    <w:rsid w:val="00A6195B"/>
    <w:rsid w:val="00A624C3"/>
    <w:rsid w:val="00A65F20"/>
    <w:rsid w:val="00A67F61"/>
    <w:rsid w:val="00A72971"/>
    <w:rsid w:val="00A731AA"/>
    <w:rsid w:val="00A73D8E"/>
    <w:rsid w:val="00A7627C"/>
    <w:rsid w:val="00A77A59"/>
    <w:rsid w:val="00A829D6"/>
    <w:rsid w:val="00A865C1"/>
    <w:rsid w:val="00A86985"/>
    <w:rsid w:val="00A87030"/>
    <w:rsid w:val="00A8773E"/>
    <w:rsid w:val="00A900B5"/>
    <w:rsid w:val="00A95461"/>
    <w:rsid w:val="00A954FB"/>
    <w:rsid w:val="00AA6F95"/>
    <w:rsid w:val="00AB51DA"/>
    <w:rsid w:val="00AB56F0"/>
    <w:rsid w:val="00AC0EE2"/>
    <w:rsid w:val="00AC6E65"/>
    <w:rsid w:val="00AC7E07"/>
    <w:rsid w:val="00AD04E5"/>
    <w:rsid w:val="00AD79B1"/>
    <w:rsid w:val="00AE0099"/>
    <w:rsid w:val="00AE00AD"/>
    <w:rsid w:val="00AE6895"/>
    <w:rsid w:val="00AF1D94"/>
    <w:rsid w:val="00AF2E4C"/>
    <w:rsid w:val="00AF3A76"/>
    <w:rsid w:val="00AF71D9"/>
    <w:rsid w:val="00B0105D"/>
    <w:rsid w:val="00B04A9C"/>
    <w:rsid w:val="00B06202"/>
    <w:rsid w:val="00B10126"/>
    <w:rsid w:val="00B117BD"/>
    <w:rsid w:val="00B11B00"/>
    <w:rsid w:val="00B12982"/>
    <w:rsid w:val="00B13529"/>
    <w:rsid w:val="00B13869"/>
    <w:rsid w:val="00B21630"/>
    <w:rsid w:val="00B21636"/>
    <w:rsid w:val="00B306A6"/>
    <w:rsid w:val="00B330E9"/>
    <w:rsid w:val="00B4490C"/>
    <w:rsid w:val="00B467ED"/>
    <w:rsid w:val="00B4762D"/>
    <w:rsid w:val="00B47A9D"/>
    <w:rsid w:val="00B50E3E"/>
    <w:rsid w:val="00B52F8C"/>
    <w:rsid w:val="00B542E8"/>
    <w:rsid w:val="00B55DE2"/>
    <w:rsid w:val="00B57BAB"/>
    <w:rsid w:val="00B609B5"/>
    <w:rsid w:val="00B63E2A"/>
    <w:rsid w:val="00B650F1"/>
    <w:rsid w:val="00B66D2A"/>
    <w:rsid w:val="00B715F4"/>
    <w:rsid w:val="00B7390B"/>
    <w:rsid w:val="00B77324"/>
    <w:rsid w:val="00B80CBE"/>
    <w:rsid w:val="00B851AE"/>
    <w:rsid w:val="00B866A7"/>
    <w:rsid w:val="00B86EE6"/>
    <w:rsid w:val="00B927FA"/>
    <w:rsid w:val="00B933D8"/>
    <w:rsid w:val="00B937C2"/>
    <w:rsid w:val="00B9403F"/>
    <w:rsid w:val="00B9579F"/>
    <w:rsid w:val="00BA06D1"/>
    <w:rsid w:val="00BA48AD"/>
    <w:rsid w:val="00BA547F"/>
    <w:rsid w:val="00BA5D83"/>
    <w:rsid w:val="00BB0BAC"/>
    <w:rsid w:val="00BB209A"/>
    <w:rsid w:val="00BB555B"/>
    <w:rsid w:val="00BB560E"/>
    <w:rsid w:val="00BB5989"/>
    <w:rsid w:val="00BB73B9"/>
    <w:rsid w:val="00BC4C01"/>
    <w:rsid w:val="00BD1520"/>
    <w:rsid w:val="00BD5A68"/>
    <w:rsid w:val="00BD7F18"/>
    <w:rsid w:val="00BE15FD"/>
    <w:rsid w:val="00BE1B27"/>
    <w:rsid w:val="00BE71BE"/>
    <w:rsid w:val="00BF1B1D"/>
    <w:rsid w:val="00BF25AF"/>
    <w:rsid w:val="00C04C24"/>
    <w:rsid w:val="00C05639"/>
    <w:rsid w:val="00C05C05"/>
    <w:rsid w:val="00C11B7C"/>
    <w:rsid w:val="00C14D9C"/>
    <w:rsid w:val="00C14E84"/>
    <w:rsid w:val="00C14F1F"/>
    <w:rsid w:val="00C164EF"/>
    <w:rsid w:val="00C23F33"/>
    <w:rsid w:val="00C30A8F"/>
    <w:rsid w:val="00C31E86"/>
    <w:rsid w:val="00C327B2"/>
    <w:rsid w:val="00C3347E"/>
    <w:rsid w:val="00C350BC"/>
    <w:rsid w:val="00C365ED"/>
    <w:rsid w:val="00C37875"/>
    <w:rsid w:val="00C4237E"/>
    <w:rsid w:val="00C42823"/>
    <w:rsid w:val="00C42BD2"/>
    <w:rsid w:val="00C4412D"/>
    <w:rsid w:val="00C4788F"/>
    <w:rsid w:val="00C52127"/>
    <w:rsid w:val="00C52251"/>
    <w:rsid w:val="00C539C0"/>
    <w:rsid w:val="00C53E28"/>
    <w:rsid w:val="00C5630D"/>
    <w:rsid w:val="00C647BD"/>
    <w:rsid w:val="00C64DBA"/>
    <w:rsid w:val="00C65875"/>
    <w:rsid w:val="00C65A54"/>
    <w:rsid w:val="00C6639C"/>
    <w:rsid w:val="00C7457D"/>
    <w:rsid w:val="00C7517A"/>
    <w:rsid w:val="00C75483"/>
    <w:rsid w:val="00C80C35"/>
    <w:rsid w:val="00C80DE9"/>
    <w:rsid w:val="00C80EAC"/>
    <w:rsid w:val="00C828AE"/>
    <w:rsid w:val="00C83C4C"/>
    <w:rsid w:val="00C9053B"/>
    <w:rsid w:val="00C90CB5"/>
    <w:rsid w:val="00C9292A"/>
    <w:rsid w:val="00C93A45"/>
    <w:rsid w:val="00C95451"/>
    <w:rsid w:val="00C969CE"/>
    <w:rsid w:val="00C979E2"/>
    <w:rsid w:val="00CA13B2"/>
    <w:rsid w:val="00CA2A52"/>
    <w:rsid w:val="00CA3DE9"/>
    <w:rsid w:val="00CA5DC0"/>
    <w:rsid w:val="00CA5EEB"/>
    <w:rsid w:val="00CB3F10"/>
    <w:rsid w:val="00CB6607"/>
    <w:rsid w:val="00CB69E4"/>
    <w:rsid w:val="00CC0C0B"/>
    <w:rsid w:val="00CC1D2E"/>
    <w:rsid w:val="00CC6E37"/>
    <w:rsid w:val="00CC78CA"/>
    <w:rsid w:val="00CD0A78"/>
    <w:rsid w:val="00CD1A7C"/>
    <w:rsid w:val="00CD48E3"/>
    <w:rsid w:val="00CD4EEA"/>
    <w:rsid w:val="00CE08A1"/>
    <w:rsid w:val="00CE19CD"/>
    <w:rsid w:val="00CE35C4"/>
    <w:rsid w:val="00CE5898"/>
    <w:rsid w:val="00CF1344"/>
    <w:rsid w:val="00D00280"/>
    <w:rsid w:val="00D008B9"/>
    <w:rsid w:val="00D0416C"/>
    <w:rsid w:val="00D04D93"/>
    <w:rsid w:val="00D06491"/>
    <w:rsid w:val="00D10744"/>
    <w:rsid w:val="00D10AE1"/>
    <w:rsid w:val="00D14E79"/>
    <w:rsid w:val="00D15739"/>
    <w:rsid w:val="00D17386"/>
    <w:rsid w:val="00D17E19"/>
    <w:rsid w:val="00D20159"/>
    <w:rsid w:val="00D24B1C"/>
    <w:rsid w:val="00D25420"/>
    <w:rsid w:val="00D25F0A"/>
    <w:rsid w:val="00D2747F"/>
    <w:rsid w:val="00D307A5"/>
    <w:rsid w:val="00D315D2"/>
    <w:rsid w:val="00D3167F"/>
    <w:rsid w:val="00D32FB0"/>
    <w:rsid w:val="00D33837"/>
    <w:rsid w:val="00D368EA"/>
    <w:rsid w:val="00D401A9"/>
    <w:rsid w:val="00D40CA3"/>
    <w:rsid w:val="00D41F32"/>
    <w:rsid w:val="00D41F37"/>
    <w:rsid w:val="00D43056"/>
    <w:rsid w:val="00D4725E"/>
    <w:rsid w:val="00D47BEC"/>
    <w:rsid w:val="00D47D04"/>
    <w:rsid w:val="00D5169C"/>
    <w:rsid w:val="00D52571"/>
    <w:rsid w:val="00D52C95"/>
    <w:rsid w:val="00D5405B"/>
    <w:rsid w:val="00D56D47"/>
    <w:rsid w:val="00D57643"/>
    <w:rsid w:val="00D57A8E"/>
    <w:rsid w:val="00D60437"/>
    <w:rsid w:val="00D60465"/>
    <w:rsid w:val="00D60F63"/>
    <w:rsid w:val="00D6267B"/>
    <w:rsid w:val="00D62FF8"/>
    <w:rsid w:val="00D63812"/>
    <w:rsid w:val="00D66FB7"/>
    <w:rsid w:val="00D67AE7"/>
    <w:rsid w:val="00D7390E"/>
    <w:rsid w:val="00D74E50"/>
    <w:rsid w:val="00D7537D"/>
    <w:rsid w:val="00D75ACE"/>
    <w:rsid w:val="00D808A1"/>
    <w:rsid w:val="00D8471B"/>
    <w:rsid w:val="00D84CE9"/>
    <w:rsid w:val="00D84EBA"/>
    <w:rsid w:val="00D86188"/>
    <w:rsid w:val="00D87788"/>
    <w:rsid w:val="00D87816"/>
    <w:rsid w:val="00D910D9"/>
    <w:rsid w:val="00D94000"/>
    <w:rsid w:val="00D95113"/>
    <w:rsid w:val="00D95FE3"/>
    <w:rsid w:val="00D96236"/>
    <w:rsid w:val="00DA12F1"/>
    <w:rsid w:val="00DB046B"/>
    <w:rsid w:val="00DB13F6"/>
    <w:rsid w:val="00DB16BE"/>
    <w:rsid w:val="00DB1C39"/>
    <w:rsid w:val="00DB4593"/>
    <w:rsid w:val="00DC2F5B"/>
    <w:rsid w:val="00DC4F99"/>
    <w:rsid w:val="00DC617E"/>
    <w:rsid w:val="00DC674C"/>
    <w:rsid w:val="00DD3192"/>
    <w:rsid w:val="00DD65C3"/>
    <w:rsid w:val="00DE2FED"/>
    <w:rsid w:val="00DF08C4"/>
    <w:rsid w:val="00DF2732"/>
    <w:rsid w:val="00DF2BD2"/>
    <w:rsid w:val="00DF2EC9"/>
    <w:rsid w:val="00DF411E"/>
    <w:rsid w:val="00DF453C"/>
    <w:rsid w:val="00DF773F"/>
    <w:rsid w:val="00E050A8"/>
    <w:rsid w:val="00E0607F"/>
    <w:rsid w:val="00E06648"/>
    <w:rsid w:val="00E072F5"/>
    <w:rsid w:val="00E1066B"/>
    <w:rsid w:val="00E110B6"/>
    <w:rsid w:val="00E17C2A"/>
    <w:rsid w:val="00E218B6"/>
    <w:rsid w:val="00E22F25"/>
    <w:rsid w:val="00E23903"/>
    <w:rsid w:val="00E261A2"/>
    <w:rsid w:val="00E2635E"/>
    <w:rsid w:val="00E3191E"/>
    <w:rsid w:val="00E354D0"/>
    <w:rsid w:val="00E4352D"/>
    <w:rsid w:val="00E44286"/>
    <w:rsid w:val="00E450EA"/>
    <w:rsid w:val="00E45626"/>
    <w:rsid w:val="00E46672"/>
    <w:rsid w:val="00E473FE"/>
    <w:rsid w:val="00E4747E"/>
    <w:rsid w:val="00E501D4"/>
    <w:rsid w:val="00E51608"/>
    <w:rsid w:val="00E52ADD"/>
    <w:rsid w:val="00E67E88"/>
    <w:rsid w:val="00E71F33"/>
    <w:rsid w:val="00E7793A"/>
    <w:rsid w:val="00E80226"/>
    <w:rsid w:val="00E83FEE"/>
    <w:rsid w:val="00E85199"/>
    <w:rsid w:val="00E86BA7"/>
    <w:rsid w:val="00E90471"/>
    <w:rsid w:val="00E9184C"/>
    <w:rsid w:val="00E93F8A"/>
    <w:rsid w:val="00E974E2"/>
    <w:rsid w:val="00EA05EF"/>
    <w:rsid w:val="00EA14E5"/>
    <w:rsid w:val="00EA2FB8"/>
    <w:rsid w:val="00EA3146"/>
    <w:rsid w:val="00EA55E8"/>
    <w:rsid w:val="00EA5ED7"/>
    <w:rsid w:val="00EA73A6"/>
    <w:rsid w:val="00EA7904"/>
    <w:rsid w:val="00EB0D78"/>
    <w:rsid w:val="00EB1EFB"/>
    <w:rsid w:val="00EB57DE"/>
    <w:rsid w:val="00EB6CAD"/>
    <w:rsid w:val="00EC2FF2"/>
    <w:rsid w:val="00EC34E8"/>
    <w:rsid w:val="00EC45B0"/>
    <w:rsid w:val="00ED07F8"/>
    <w:rsid w:val="00ED233A"/>
    <w:rsid w:val="00ED3F97"/>
    <w:rsid w:val="00ED5DBD"/>
    <w:rsid w:val="00ED6CC1"/>
    <w:rsid w:val="00EE2871"/>
    <w:rsid w:val="00EE3C65"/>
    <w:rsid w:val="00EE65CF"/>
    <w:rsid w:val="00EE682F"/>
    <w:rsid w:val="00EE72C1"/>
    <w:rsid w:val="00EF2756"/>
    <w:rsid w:val="00EF3AC7"/>
    <w:rsid w:val="00EF61A2"/>
    <w:rsid w:val="00EF7DB2"/>
    <w:rsid w:val="00F008E4"/>
    <w:rsid w:val="00F00E80"/>
    <w:rsid w:val="00F03031"/>
    <w:rsid w:val="00F03F85"/>
    <w:rsid w:val="00F04558"/>
    <w:rsid w:val="00F045C0"/>
    <w:rsid w:val="00F04D3D"/>
    <w:rsid w:val="00F058A8"/>
    <w:rsid w:val="00F069FC"/>
    <w:rsid w:val="00F07036"/>
    <w:rsid w:val="00F07F05"/>
    <w:rsid w:val="00F107FD"/>
    <w:rsid w:val="00F10D88"/>
    <w:rsid w:val="00F13ADE"/>
    <w:rsid w:val="00F153BC"/>
    <w:rsid w:val="00F17BF6"/>
    <w:rsid w:val="00F26358"/>
    <w:rsid w:val="00F26B1D"/>
    <w:rsid w:val="00F309E3"/>
    <w:rsid w:val="00F3238E"/>
    <w:rsid w:val="00F34348"/>
    <w:rsid w:val="00F353D6"/>
    <w:rsid w:val="00F43A15"/>
    <w:rsid w:val="00F50728"/>
    <w:rsid w:val="00F54182"/>
    <w:rsid w:val="00F55DD4"/>
    <w:rsid w:val="00F56066"/>
    <w:rsid w:val="00F612FD"/>
    <w:rsid w:val="00F615E2"/>
    <w:rsid w:val="00F61CE7"/>
    <w:rsid w:val="00F61FEA"/>
    <w:rsid w:val="00F62104"/>
    <w:rsid w:val="00F63951"/>
    <w:rsid w:val="00F643CA"/>
    <w:rsid w:val="00F65153"/>
    <w:rsid w:val="00F657FA"/>
    <w:rsid w:val="00F76DD1"/>
    <w:rsid w:val="00F76F2C"/>
    <w:rsid w:val="00F7714E"/>
    <w:rsid w:val="00F80275"/>
    <w:rsid w:val="00F80EA0"/>
    <w:rsid w:val="00F962DF"/>
    <w:rsid w:val="00FA6444"/>
    <w:rsid w:val="00FB1D53"/>
    <w:rsid w:val="00FB2436"/>
    <w:rsid w:val="00FB271C"/>
    <w:rsid w:val="00FB33F8"/>
    <w:rsid w:val="00FB7239"/>
    <w:rsid w:val="00FB7FF2"/>
    <w:rsid w:val="00FC01EB"/>
    <w:rsid w:val="00FC1ACC"/>
    <w:rsid w:val="00FC4AC6"/>
    <w:rsid w:val="00FC73C9"/>
    <w:rsid w:val="00FE0D24"/>
    <w:rsid w:val="00FE1465"/>
    <w:rsid w:val="00FE2EE7"/>
    <w:rsid w:val="00FE5476"/>
    <w:rsid w:val="00FE566F"/>
    <w:rsid w:val="00FE681B"/>
    <w:rsid w:val="00FF00FE"/>
    <w:rsid w:val="00FF0574"/>
    <w:rsid w:val="00FF2786"/>
    <w:rsid w:val="00FF3B96"/>
    <w:rsid w:val="00FF57CF"/>
    <w:rsid w:val="00FF7A36"/>
    <w:rsid w:val="01044A36"/>
    <w:rsid w:val="015243F2"/>
    <w:rsid w:val="01780037"/>
    <w:rsid w:val="018F52C5"/>
    <w:rsid w:val="01E6357A"/>
    <w:rsid w:val="02050C8A"/>
    <w:rsid w:val="021727DF"/>
    <w:rsid w:val="02305044"/>
    <w:rsid w:val="025A6821"/>
    <w:rsid w:val="027842AC"/>
    <w:rsid w:val="02895A9E"/>
    <w:rsid w:val="02BE378E"/>
    <w:rsid w:val="036E1BCC"/>
    <w:rsid w:val="037576B9"/>
    <w:rsid w:val="03C911A4"/>
    <w:rsid w:val="03D56A54"/>
    <w:rsid w:val="03DF79D8"/>
    <w:rsid w:val="041500BC"/>
    <w:rsid w:val="04596782"/>
    <w:rsid w:val="04F9702D"/>
    <w:rsid w:val="0524465F"/>
    <w:rsid w:val="053D73D6"/>
    <w:rsid w:val="054D72C0"/>
    <w:rsid w:val="05725874"/>
    <w:rsid w:val="05922AA2"/>
    <w:rsid w:val="05B07909"/>
    <w:rsid w:val="05DF5BAB"/>
    <w:rsid w:val="060F0236"/>
    <w:rsid w:val="06C03448"/>
    <w:rsid w:val="06CA4F2C"/>
    <w:rsid w:val="06D660F8"/>
    <w:rsid w:val="06F015F2"/>
    <w:rsid w:val="07763C30"/>
    <w:rsid w:val="0790233A"/>
    <w:rsid w:val="07CD3325"/>
    <w:rsid w:val="083F42F9"/>
    <w:rsid w:val="08B50213"/>
    <w:rsid w:val="09324887"/>
    <w:rsid w:val="0945685A"/>
    <w:rsid w:val="09775259"/>
    <w:rsid w:val="099224C2"/>
    <w:rsid w:val="099504F5"/>
    <w:rsid w:val="099D0C04"/>
    <w:rsid w:val="09B52FF7"/>
    <w:rsid w:val="09DF7C96"/>
    <w:rsid w:val="09F25D5F"/>
    <w:rsid w:val="0A114D88"/>
    <w:rsid w:val="0A2A2CEA"/>
    <w:rsid w:val="0A5B500F"/>
    <w:rsid w:val="0A7D78C4"/>
    <w:rsid w:val="0B541E7E"/>
    <w:rsid w:val="0B77722F"/>
    <w:rsid w:val="0BA44F3E"/>
    <w:rsid w:val="0BB71D1C"/>
    <w:rsid w:val="0BE16385"/>
    <w:rsid w:val="0C04200E"/>
    <w:rsid w:val="0C0524BF"/>
    <w:rsid w:val="0C163B49"/>
    <w:rsid w:val="0CB235CC"/>
    <w:rsid w:val="0D1B6E50"/>
    <w:rsid w:val="0D27481B"/>
    <w:rsid w:val="0D457279"/>
    <w:rsid w:val="0D604A87"/>
    <w:rsid w:val="0D7215AE"/>
    <w:rsid w:val="0D9C7061"/>
    <w:rsid w:val="0E2B5A15"/>
    <w:rsid w:val="0E3F4236"/>
    <w:rsid w:val="0E4E7702"/>
    <w:rsid w:val="0E8656EF"/>
    <w:rsid w:val="0E960CB7"/>
    <w:rsid w:val="0F220AC4"/>
    <w:rsid w:val="0F763E6D"/>
    <w:rsid w:val="0FA66D47"/>
    <w:rsid w:val="0FB47B44"/>
    <w:rsid w:val="0FF309DB"/>
    <w:rsid w:val="100E5D95"/>
    <w:rsid w:val="10647F18"/>
    <w:rsid w:val="10F85ED4"/>
    <w:rsid w:val="115E27ED"/>
    <w:rsid w:val="11917FC3"/>
    <w:rsid w:val="11E87D2B"/>
    <w:rsid w:val="11F96343"/>
    <w:rsid w:val="120D5D94"/>
    <w:rsid w:val="12301BE1"/>
    <w:rsid w:val="124D3615"/>
    <w:rsid w:val="125873CA"/>
    <w:rsid w:val="129E33FA"/>
    <w:rsid w:val="12B167EF"/>
    <w:rsid w:val="12B85C21"/>
    <w:rsid w:val="12CF61AF"/>
    <w:rsid w:val="12D76AB4"/>
    <w:rsid w:val="12FA11B0"/>
    <w:rsid w:val="13633E50"/>
    <w:rsid w:val="139F0A99"/>
    <w:rsid w:val="13B8676B"/>
    <w:rsid w:val="13C5797F"/>
    <w:rsid w:val="13F314D5"/>
    <w:rsid w:val="13FB2E0D"/>
    <w:rsid w:val="147B211B"/>
    <w:rsid w:val="1489052F"/>
    <w:rsid w:val="151B0F07"/>
    <w:rsid w:val="157150A5"/>
    <w:rsid w:val="15C97741"/>
    <w:rsid w:val="15D856F5"/>
    <w:rsid w:val="15FF688D"/>
    <w:rsid w:val="1650151D"/>
    <w:rsid w:val="1689073A"/>
    <w:rsid w:val="16A8459D"/>
    <w:rsid w:val="16F60802"/>
    <w:rsid w:val="171E4420"/>
    <w:rsid w:val="17C739FC"/>
    <w:rsid w:val="17D41D6C"/>
    <w:rsid w:val="182022DD"/>
    <w:rsid w:val="18211F0D"/>
    <w:rsid w:val="18917071"/>
    <w:rsid w:val="189D2D85"/>
    <w:rsid w:val="19300BDA"/>
    <w:rsid w:val="197E4795"/>
    <w:rsid w:val="19BE3324"/>
    <w:rsid w:val="1A1C5D80"/>
    <w:rsid w:val="1A8C6DA2"/>
    <w:rsid w:val="1AA32CDE"/>
    <w:rsid w:val="1AB339DA"/>
    <w:rsid w:val="1ACB2586"/>
    <w:rsid w:val="1AF80295"/>
    <w:rsid w:val="1B4C1264"/>
    <w:rsid w:val="1B981D6B"/>
    <w:rsid w:val="1BDC2081"/>
    <w:rsid w:val="1BF07363"/>
    <w:rsid w:val="1C3F0477"/>
    <w:rsid w:val="1C3F261D"/>
    <w:rsid w:val="1CC659C3"/>
    <w:rsid w:val="1D3737C4"/>
    <w:rsid w:val="1D470E3A"/>
    <w:rsid w:val="1D7E5172"/>
    <w:rsid w:val="1D905F8A"/>
    <w:rsid w:val="1DAF7DA0"/>
    <w:rsid w:val="1DCA3F6C"/>
    <w:rsid w:val="1DF63B37"/>
    <w:rsid w:val="1E4753AA"/>
    <w:rsid w:val="1E960999"/>
    <w:rsid w:val="1EBF3570"/>
    <w:rsid w:val="1EEA6927"/>
    <w:rsid w:val="1F1A0416"/>
    <w:rsid w:val="1F676A7E"/>
    <w:rsid w:val="1F7907C2"/>
    <w:rsid w:val="1F7F6F4C"/>
    <w:rsid w:val="1FA32024"/>
    <w:rsid w:val="1FAF6C47"/>
    <w:rsid w:val="1FE30460"/>
    <w:rsid w:val="20162F80"/>
    <w:rsid w:val="2090064B"/>
    <w:rsid w:val="20952C80"/>
    <w:rsid w:val="20A27D07"/>
    <w:rsid w:val="213B757D"/>
    <w:rsid w:val="217403E6"/>
    <w:rsid w:val="21C325DB"/>
    <w:rsid w:val="21D43F61"/>
    <w:rsid w:val="22000E0E"/>
    <w:rsid w:val="227D38C5"/>
    <w:rsid w:val="228C02DB"/>
    <w:rsid w:val="228D28F3"/>
    <w:rsid w:val="22A658CA"/>
    <w:rsid w:val="22D66125"/>
    <w:rsid w:val="22EF5793"/>
    <w:rsid w:val="23244952"/>
    <w:rsid w:val="232F3FD7"/>
    <w:rsid w:val="233D6605"/>
    <w:rsid w:val="23772B8F"/>
    <w:rsid w:val="238C6E15"/>
    <w:rsid w:val="23CF2AB4"/>
    <w:rsid w:val="23D21499"/>
    <w:rsid w:val="24061828"/>
    <w:rsid w:val="24215895"/>
    <w:rsid w:val="2450605F"/>
    <w:rsid w:val="24792C7B"/>
    <w:rsid w:val="24B009C5"/>
    <w:rsid w:val="24C13E11"/>
    <w:rsid w:val="24DF251C"/>
    <w:rsid w:val="24F563DE"/>
    <w:rsid w:val="25017B46"/>
    <w:rsid w:val="250C03C2"/>
    <w:rsid w:val="25665B01"/>
    <w:rsid w:val="25A56568"/>
    <w:rsid w:val="25A64F34"/>
    <w:rsid w:val="25B84A72"/>
    <w:rsid w:val="25D20349"/>
    <w:rsid w:val="25E22257"/>
    <w:rsid w:val="25EF4BEF"/>
    <w:rsid w:val="26307BB3"/>
    <w:rsid w:val="267922ED"/>
    <w:rsid w:val="269B6AC7"/>
    <w:rsid w:val="26B23C97"/>
    <w:rsid w:val="26CA7703"/>
    <w:rsid w:val="26EE1E5B"/>
    <w:rsid w:val="26F168BF"/>
    <w:rsid w:val="27054C7B"/>
    <w:rsid w:val="271F2410"/>
    <w:rsid w:val="272F01CA"/>
    <w:rsid w:val="27301D9B"/>
    <w:rsid w:val="274F2644"/>
    <w:rsid w:val="27571B6C"/>
    <w:rsid w:val="27DD2E31"/>
    <w:rsid w:val="28040DA0"/>
    <w:rsid w:val="28281676"/>
    <w:rsid w:val="284832EF"/>
    <w:rsid w:val="286D1933"/>
    <w:rsid w:val="28E26ADF"/>
    <w:rsid w:val="28F6093D"/>
    <w:rsid w:val="2902455D"/>
    <w:rsid w:val="29470146"/>
    <w:rsid w:val="296B4BC2"/>
    <w:rsid w:val="29CD610C"/>
    <w:rsid w:val="29E824A6"/>
    <w:rsid w:val="29EF7041"/>
    <w:rsid w:val="2AA95167"/>
    <w:rsid w:val="2AC70D69"/>
    <w:rsid w:val="2AD63C68"/>
    <w:rsid w:val="2B0A5D0F"/>
    <w:rsid w:val="2B2673FA"/>
    <w:rsid w:val="2BA1715A"/>
    <w:rsid w:val="2BC55F5B"/>
    <w:rsid w:val="2C202DEA"/>
    <w:rsid w:val="2CA412CD"/>
    <w:rsid w:val="2CD3389B"/>
    <w:rsid w:val="2CD468B5"/>
    <w:rsid w:val="2E140CA6"/>
    <w:rsid w:val="2E1536CA"/>
    <w:rsid w:val="2E7E3F56"/>
    <w:rsid w:val="2EE53543"/>
    <w:rsid w:val="2EE87B06"/>
    <w:rsid w:val="2F4F79BA"/>
    <w:rsid w:val="2F632F24"/>
    <w:rsid w:val="2F7E078E"/>
    <w:rsid w:val="2F950911"/>
    <w:rsid w:val="2FB9077D"/>
    <w:rsid w:val="2FBB395D"/>
    <w:rsid w:val="2FE75549"/>
    <w:rsid w:val="30163ED2"/>
    <w:rsid w:val="302573E1"/>
    <w:rsid w:val="308B0A36"/>
    <w:rsid w:val="30A801FF"/>
    <w:rsid w:val="30BF5A2E"/>
    <w:rsid w:val="31750303"/>
    <w:rsid w:val="31972F09"/>
    <w:rsid w:val="31B01A57"/>
    <w:rsid w:val="31BC5BBD"/>
    <w:rsid w:val="31D05ACC"/>
    <w:rsid w:val="31EB53E2"/>
    <w:rsid w:val="31F9640B"/>
    <w:rsid w:val="321E4591"/>
    <w:rsid w:val="3225010C"/>
    <w:rsid w:val="324326A2"/>
    <w:rsid w:val="326529B5"/>
    <w:rsid w:val="329E4E86"/>
    <w:rsid w:val="32A37B7E"/>
    <w:rsid w:val="32C50B44"/>
    <w:rsid w:val="32D23EF0"/>
    <w:rsid w:val="32E411B0"/>
    <w:rsid w:val="33390D54"/>
    <w:rsid w:val="334A7150"/>
    <w:rsid w:val="33660E88"/>
    <w:rsid w:val="33741F1C"/>
    <w:rsid w:val="339D3915"/>
    <w:rsid w:val="33EF56CC"/>
    <w:rsid w:val="33F76221"/>
    <w:rsid w:val="34132D82"/>
    <w:rsid w:val="344E4460"/>
    <w:rsid w:val="348936BD"/>
    <w:rsid w:val="34BC23E6"/>
    <w:rsid w:val="34CC2B6C"/>
    <w:rsid w:val="34E83780"/>
    <w:rsid w:val="35163239"/>
    <w:rsid w:val="35427265"/>
    <w:rsid w:val="354F104F"/>
    <w:rsid w:val="3557393D"/>
    <w:rsid w:val="35A31DEA"/>
    <w:rsid w:val="35E3466C"/>
    <w:rsid w:val="360E04D4"/>
    <w:rsid w:val="36206EE0"/>
    <w:rsid w:val="362167DA"/>
    <w:rsid w:val="36792295"/>
    <w:rsid w:val="36935D2E"/>
    <w:rsid w:val="36A338C4"/>
    <w:rsid w:val="36AC1543"/>
    <w:rsid w:val="36B06B01"/>
    <w:rsid w:val="36C721FD"/>
    <w:rsid w:val="3731387A"/>
    <w:rsid w:val="373A194B"/>
    <w:rsid w:val="37484C59"/>
    <w:rsid w:val="376D0DC5"/>
    <w:rsid w:val="37C13691"/>
    <w:rsid w:val="37C40AF7"/>
    <w:rsid w:val="3824422F"/>
    <w:rsid w:val="38C45403"/>
    <w:rsid w:val="38D260CA"/>
    <w:rsid w:val="38DE028F"/>
    <w:rsid w:val="38E47C70"/>
    <w:rsid w:val="38F0302A"/>
    <w:rsid w:val="38FA6F8A"/>
    <w:rsid w:val="392134F4"/>
    <w:rsid w:val="394001FC"/>
    <w:rsid w:val="3A007B91"/>
    <w:rsid w:val="3A421AE2"/>
    <w:rsid w:val="3A580B6D"/>
    <w:rsid w:val="3A5C20C4"/>
    <w:rsid w:val="3A6D4856"/>
    <w:rsid w:val="3A764517"/>
    <w:rsid w:val="3AFA25BB"/>
    <w:rsid w:val="3C04760F"/>
    <w:rsid w:val="3C12627D"/>
    <w:rsid w:val="3C631FC2"/>
    <w:rsid w:val="3C732BBD"/>
    <w:rsid w:val="3CDF19DA"/>
    <w:rsid w:val="3D0E6EEB"/>
    <w:rsid w:val="3D42035D"/>
    <w:rsid w:val="3D784ACA"/>
    <w:rsid w:val="3DA00A36"/>
    <w:rsid w:val="3DCA6688"/>
    <w:rsid w:val="3DD731F0"/>
    <w:rsid w:val="3DDA5057"/>
    <w:rsid w:val="3DFF3AC9"/>
    <w:rsid w:val="3E5B17A4"/>
    <w:rsid w:val="3E7857C9"/>
    <w:rsid w:val="3EDF52E3"/>
    <w:rsid w:val="3F232D7E"/>
    <w:rsid w:val="3F6123AA"/>
    <w:rsid w:val="3F6345AA"/>
    <w:rsid w:val="3F7626FC"/>
    <w:rsid w:val="3F7663C3"/>
    <w:rsid w:val="3F8268A3"/>
    <w:rsid w:val="3FC0402F"/>
    <w:rsid w:val="3FE34E35"/>
    <w:rsid w:val="3FE9200B"/>
    <w:rsid w:val="40126D59"/>
    <w:rsid w:val="402A6894"/>
    <w:rsid w:val="406E669A"/>
    <w:rsid w:val="40B9580E"/>
    <w:rsid w:val="40F753AE"/>
    <w:rsid w:val="410076E2"/>
    <w:rsid w:val="41506276"/>
    <w:rsid w:val="41CA3895"/>
    <w:rsid w:val="41CA6CFC"/>
    <w:rsid w:val="41F57307"/>
    <w:rsid w:val="42026F6C"/>
    <w:rsid w:val="42084219"/>
    <w:rsid w:val="420A2161"/>
    <w:rsid w:val="423B3FA4"/>
    <w:rsid w:val="426A5045"/>
    <w:rsid w:val="427C15A0"/>
    <w:rsid w:val="428E2DC4"/>
    <w:rsid w:val="42CF5A22"/>
    <w:rsid w:val="42E107DA"/>
    <w:rsid w:val="42E308A3"/>
    <w:rsid w:val="431F6524"/>
    <w:rsid w:val="4325719E"/>
    <w:rsid w:val="433C1AFB"/>
    <w:rsid w:val="437C07C8"/>
    <w:rsid w:val="43BD18A6"/>
    <w:rsid w:val="43C75491"/>
    <w:rsid w:val="43EE4609"/>
    <w:rsid w:val="440309CD"/>
    <w:rsid w:val="44105EF4"/>
    <w:rsid w:val="444E24D1"/>
    <w:rsid w:val="44BD25FA"/>
    <w:rsid w:val="45063C61"/>
    <w:rsid w:val="45192C6B"/>
    <w:rsid w:val="451A1DEB"/>
    <w:rsid w:val="458D0A2C"/>
    <w:rsid w:val="4591406C"/>
    <w:rsid w:val="45B35EBD"/>
    <w:rsid w:val="45CF26F8"/>
    <w:rsid w:val="46F8044D"/>
    <w:rsid w:val="472A5A21"/>
    <w:rsid w:val="47380A67"/>
    <w:rsid w:val="47C13B4B"/>
    <w:rsid w:val="4822499C"/>
    <w:rsid w:val="48393C61"/>
    <w:rsid w:val="4846407F"/>
    <w:rsid w:val="48855CD6"/>
    <w:rsid w:val="48CD36FA"/>
    <w:rsid w:val="48DF209C"/>
    <w:rsid w:val="490B63E4"/>
    <w:rsid w:val="492D76C3"/>
    <w:rsid w:val="49376375"/>
    <w:rsid w:val="49442F39"/>
    <w:rsid w:val="49934BD0"/>
    <w:rsid w:val="49CE0B73"/>
    <w:rsid w:val="4A575810"/>
    <w:rsid w:val="4ADA799F"/>
    <w:rsid w:val="4B325F90"/>
    <w:rsid w:val="4B8C6A4F"/>
    <w:rsid w:val="4BBC4113"/>
    <w:rsid w:val="4BC22D9B"/>
    <w:rsid w:val="4BD30273"/>
    <w:rsid w:val="4BF600F5"/>
    <w:rsid w:val="4C41356B"/>
    <w:rsid w:val="4C7221A7"/>
    <w:rsid w:val="4C766495"/>
    <w:rsid w:val="4CC5266D"/>
    <w:rsid w:val="4D4070A4"/>
    <w:rsid w:val="4D740818"/>
    <w:rsid w:val="4D7E0E31"/>
    <w:rsid w:val="4DE56598"/>
    <w:rsid w:val="4DE8229E"/>
    <w:rsid w:val="4DF3697F"/>
    <w:rsid w:val="4E601C3C"/>
    <w:rsid w:val="4E606891"/>
    <w:rsid w:val="4E8150B5"/>
    <w:rsid w:val="4E8C4F9D"/>
    <w:rsid w:val="4EB818D5"/>
    <w:rsid w:val="4F125B61"/>
    <w:rsid w:val="4F1F066B"/>
    <w:rsid w:val="4F3639E8"/>
    <w:rsid w:val="4FED55CB"/>
    <w:rsid w:val="508861AB"/>
    <w:rsid w:val="50D4063B"/>
    <w:rsid w:val="512004CD"/>
    <w:rsid w:val="515069F4"/>
    <w:rsid w:val="51602F4C"/>
    <w:rsid w:val="51691084"/>
    <w:rsid w:val="51AE480F"/>
    <w:rsid w:val="52037480"/>
    <w:rsid w:val="524D253C"/>
    <w:rsid w:val="529C743B"/>
    <w:rsid w:val="52A059C4"/>
    <w:rsid w:val="52BB214F"/>
    <w:rsid w:val="52D75278"/>
    <w:rsid w:val="530A6624"/>
    <w:rsid w:val="532458F6"/>
    <w:rsid w:val="534244A5"/>
    <w:rsid w:val="535B6C42"/>
    <w:rsid w:val="53772781"/>
    <w:rsid w:val="53DD7F94"/>
    <w:rsid w:val="53DE274C"/>
    <w:rsid w:val="54100515"/>
    <w:rsid w:val="542D238A"/>
    <w:rsid w:val="54360280"/>
    <w:rsid w:val="54771DDB"/>
    <w:rsid w:val="54861D38"/>
    <w:rsid w:val="549D01D8"/>
    <w:rsid w:val="55144653"/>
    <w:rsid w:val="55D831E4"/>
    <w:rsid w:val="56302372"/>
    <w:rsid w:val="56306716"/>
    <w:rsid w:val="56900C1B"/>
    <w:rsid w:val="569156F2"/>
    <w:rsid w:val="56994A68"/>
    <w:rsid w:val="56A36572"/>
    <w:rsid w:val="57294F69"/>
    <w:rsid w:val="572A3AC3"/>
    <w:rsid w:val="57852A5F"/>
    <w:rsid w:val="578F0E99"/>
    <w:rsid w:val="57AA2D4E"/>
    <w:rsid w:val="57AB0B61"/>
    <w:rsid w:val="57E737C7"/>
    <w:rsid w:val="57FE4414"/>
    <w:rsid w:val="5808435B"/>
    <w:rsid w:val="58443691"/>
    <w:rsid w:val="58644C56"/>
    <w:rsid w:val="58DB6CD4"/>
    <w:rsid w:val="592F4560"/>
    <w:rsid w:val="59522196"/>
    <w:rsid w:val="59E83C4B"/>
    <w:rsid w:val="59EB33CD"/>
    <w:rsid w:val="5A7176E7"/>
    <w:rsid w:val="5A783FCB"/>
    <w:rsid w:val="5AB03184"/>
    <w:rsid w:val="5AC46219"/>
    <w:rsid w:val="5AD06AE1"/>
    <w:rsid w:val="5B074E3D"/>
    <w:rsid w:val="5B175AF4"/>
    <w:rsid w:val="5B213FD5"/>
    <w:rsid w:val="5B2C4954"/>
    <w:rsid w:val="5B577B24"/>
    <w:rsid w:val="5B5F4550"/>
    <w:rsid w:val="5B60456D"/>
    <w:rsid w:val="5B8A40B7"/>
    <w:rsid w:val="5B925E23"/>
    <w:rsid w:val="5B9A04B4"/>
    <w:rsid w:val="5BBB40D0"/>
    <w:rsid w:val="5BCA4252"/>
    <w:rsid w:val="5BD61E0B"/>
    <w:rsid w:val="5C1B48E7"/>
    <w:rsid w:val="5C4F5A94"/>
    <w:rsid w:val="5C834BF3"/>
    <w:rsid w:val="5CC61042"/>
    <w:rsid w:val="5CC65E68"/>
    <w:rsid w:val="5D17512C"/>
    <w:rsid w:val="5D6571D5"/>
    <w:rsid w:val="5D7E44DB"/>
    <w:rsid w:val="5DBA2DCD"/>
    <w:rsid w:val="5DFD44AA"/>
    <w:rsid w:val="5E2463B3"/>
    <w:rsid w:val="5E3D32B2"/>
    <w:rsid w:val="5E731884"/>
    <w:rsid w:val="5E9D18F9"/>
    <w:rsid w:val="5EB00D5F"/>
    <w:rsid w:val="5ED50624"/>
    <w:rsid w:val="5F4C1258"/>
    <w:rsid w:val="5FA758C9"/>
    <w:rsid w:val="5FB52D96"/>
    <w:rsid w:val="5FC530E9"/>
    <w:rsid w:val="600A67BC"/>
    <w:rsid w:val="601B4403"/>
    <w:rsid w:val="603F59E6"/>
    <w:rsid w:val="60BB1070"/>
    <w:rsid w:val="60CF75F1"/>
    <w:rsid w:val="612C0426"/>
    <w:rsid w:val="61302CFB"/>
    <w:rsid w:val="6136117E"/>
    <w:rsid w:val="613E7786"/>
    <w:rsid w:val="61541772"/>
    <w:rsid w:val="617C1B8C"/>
    <w:rsid w:val="61987DD0"/>
    <w:rsid w:val="61E0399F"/>
    <w:rsid w:val="621F5DF7"/>
    <w:rsid w:val="626254E2"/>
    <w:rsid w:val="627022DB"/>
    <w:rsid w:val="627B6899"/>
    <w:rsid w:val="62846783"/>
    <w:rsid w:val="62A15466"/>
    <w:rsid w:val="62EF26D9"/>
    <w:rsid w:val="63130619"/>
    <w:rsid w:val="6329054B"/>
    <w:rsid w:val="634952EF"/>
    <w:rsid w:val="63531402"/>
    <w:rsid w:val="63602095"/>
    <w:rsid w:val="63615C7A"/>
    <w:rsid w:val="636813A7"/>
    <w:rsid w:val="63910529"/>
    <w:rsid w:val="639A5A8B"/>
    <w:rsid w:val="63AB6AC5"/>
    <w:rsid w:val="63AF4907"/>
    <w:rsid w:val="64000E86"/>
    <w:rsid w:val="64066AD1"/>
    <w:rsid w:val="647678A5"/>
    <w:rsid w:val="64815F12"/>
    <w:rsid w:val="64B86876"/>
    <w:rsid w:val="64D45B94"/>
    <w:rsid w:val="64F82697"/>
    <w:rsid w:val="652F521F"/>
    <w:rsid w:val="655B52A7"/>
    <w:rsid w:val="65C91E0B"/>
    <w:rsid w:val="65CA199B"/>
    <w:rsid w:val="65DE1DB1"/>
    <w:rsid w:val="661C14CB"/>
    <w:rsid w:val="662C1D84"/>
    <w:rsid w:val="663F7FF9"/>
    <w:rsid w:val="667124C7"/>
    <w:rsid w:val="66754DCD"/>
    <w:rsid w:val="66906248"/>
    <w:rsid w:val="669B24F4"/>
    <w:rsid w:val="66FD3417"/>
    <w:rsid w:val="67751429"/>
    <w:rsid w:val="677E57C8"/>
    <w:rsid w:val="67807905"/>
    <w:rsid w:val="67AF7EFD"/>
    <w:rsid w:val="67B67575"/>
    <w:rsid w:val="67B716B4"/>
    <w:rsid w:val="67E33780"/>
    <w:rsid w:val="683C289A"/>
    <w:rsid w:val="68554CB0"/>
    <w:rsid w:val="685B2183"/>
    <w:rsid w:val="68AB31C8"/>
    <w:rsid w:val="69187F79"/>
    <w:rsid w:val="695430F1"/>
    <w:rsid w:val="698908BB"/>
    <w:rsid w:val="69A25638"/>
    <w:rsid w:val="69B849B0"/>
    <w:rsid w:val="69D07728"/>
    <w:rsid w:val="6A897728"/>
    <w:rsid w:val="6AB37D1A"/>
    <w:rsid w:val="6AB66B8D"/>
    <w:rsid w:val="6AD3432A"/>
    <w:rsid w:val="6B8C0A40"/>
    <w:rsid w:val="6BBF05DA"/>
    <w:rsid w:val="6C2044D7"/>
    <w:rsid w:val="6C252E01"/>
    <w:rsid w:val="6C494EFE"/>
    <w:rsid w:val="6C8E70FA"/>
    <w:rsid w:val="6CB97A72"/>
    <w:rsid w:val="6CC03575"/>
    <w:rsid w:val="6CD43218"/>
    <w:rsid w:val="6CF7332A"/>
    <w:rsid w:val="6D2A1ABB"/>
    <w:rsid w:val="6D332D93"/>
    <w:rsid w:val="6D78418A"/>
    <w:rsid w:val="6DA170E8"/>
    <w:rsid w:val="6DC17BE4"/>
    <w:rsid w:val="6DE018CB"/>
    <w:rsid w:val="6DE80053"/>
    <w:rsid w:val="6DF039B5"/>
    <w:rsid w:val="6DF341E5"/>
    <w:rsid w:val="6E434E0A"/>
    <w:rsid w:val="6E897F78"/>
    <w:rsid w:val="6EE07DE7"/>
    <w:rsid w:val="6EE445B3"/>
    <w:rsid w:val="6EE85C67"/>
    <w:rsid w:val="6F0519FF"/>
    <w:rsid w:val="6F111F22"/>
    <w:rsid w:val="6F767BC9"/>
    <w:rsid w:val="6F810EB2"/>
    <w:rsid w:val="6F9B7C46"/>
    <w:rsid w:val="6FC14587"/>
    <w:rsid w:val="6FF733CD"/>
    <w:rsid w:val="703E78F4"/>
    <w:rsid w:val="7045043A"/>
    <w:rsid w:val="707C7B1F"/>
    <w:rsid w:val="7097567B"/>
    <w:rsid w:val="70A54654"/>
    <w:rsid w:val="70B151D9"/>
    <w:rsid w:val="70B831D6"/>
    <w:rsid w:val="70E749CD"/>
    <w:rsid w:val="70ED20D3"/>
    <w:rsid w:val="70FE0B8C"/>
    <w:rsid w:val="7109358E"/>
    <w:rsid w:val="711B191E"/>
    <w:rsid w:val="71397685"/>
    <w:rsid w:val="713B639E"/>
    <w:rsid w:val="71486247"/>
    <w:rsid w:val="7168175A"/>
    <w:rsid w:val="71695FDA"/>
    <w:rsid w:val="71CC44CE"/>
    <w:rsid w:val="71D24DDF"/>
    <w:rsid w:val="71D363BE"/>
    <w:rsid w:val="7206615F"/>
    <w:rsid w:val="720B3D1E"/>
    <w:rsid w:val="722321B7"/>
    <w:rsid w:val="72AC1FE1"/>
    <w:rsid w:val="72B6400C"/>
    <w:rsid w:val="72DF0AD4"/>
    <w:rsid w:val="7318762B"/>
    <w:rsid w:val="73C33FA2"/>
    <w:rsid w:val="74633756"/>
    <w:rsid w:val="746B0578"/>
    <w:rsid w:val="74740C47"/>
    <w:rsid w:val="747B4039"/>
    <w:rsid w:val="749F4B07"/>
    <w:rsid w:val="752E2264"/>
    <w:rsid w:val="754A1C9F"/>
    <w:rsid w:val="757B7651"/>
    <w:rsid w:val="75863912"/>
    <w:rsid w:val="75C85667"/>
    <w:rsid w:val="76E57619"/>
    <w:rsid w:val="76F2518F"/>
    <w:rsid w:val="771761B5"/>
    <w:rsid w:val="777043A1"/>
    <w:rsid w:val="777819CC"/>
    <w:rsid w:val="77925AF6"/>
    <w:rsid w:val="779312B8"/>
    <w:rsid w:val="781E4131"/>
    <w:rsid w:val="78510905"/>
    <w:rsid w:val="786F43BC"/>
    <w:rsid w:val="78711EA5"/>
    <w:rsid w:val="787842A4"/>
    <w:rsid w:val="787B7033"/>
    <w:rsid w:val="78B22048"/>
    <w:rsid w:val="791257DF"/>
    <w:rsid w:val="7935778F"/>
    <w:rsid w:val="796865CB"/>
    <w:rsid w:val="79716FB8"/>
    <w:rsid w:val="79836AF5"/>
    <w:rsid w:val="7989566E"/>
    <w:rsid w:val="799419B7"/>
    <w:rsid w:val="79A46787"/>
    <w:rsid w:val="79A95A0D"/>
    <w:rsid w:val="79B840C9"/>
    <w:rsid w:val="79CC46E0"/>
    <w:rsid w:val="7A216D06"/>
    <w:rsid w:val="7A556398"/>
    <w:rsid w:val="7A6446C8"/>
    <w:rsid w:val="7A7460BA"/>
    <w:rsid w:val="7AA575B3"/>
    <w:rsid w:val="7ACE72C3"/>
    <w:rsid w:val="7AD829C3"/>
    <w:rsid w:val="7B02795E"/>
    <w:rsid w:val="7B6364CC"/>
    <w:rsid w:val="7B6D06AD"/>
    <w:rsid w:val="7B731598"/>
    <w:rsid w:val="7BBE30E9"/>
    <w:rsid w:val="7BC7665C"/>
    <w:rsid w:val="7C0B22B5"/>
    <w:rsid w:val="7C2E209E"/>
    <w:rsid w:val="7C696430"/>
    <w:rsid w:val="7C7311CE"/>
    <w:rsid w:val="7CA3770C"/>
    <w:rsid w:val="7CBD2627"/>
    <w:rsid w:val="7D1F0A07"/>
    <w:rsid w:val="7D2D396D"/>
    <w:rsid w:val="7D7D2D69"/>
    <w:rsid w:val="7D817C42"/>
    <w:rsid w:val="7DC15838"/>
    <w:rsid w:val="7E327769"/>
    <w:rsid w:val="7EE0207E"/>
    <w:rsid w:val="7EEE4B2B"/>
    <w:rsid w:val="7F163B69"/>
    <w:rsid w:val="7F27140C"/>
    <w:rsid w:val="7F2D27DC"/>
    <w:rsid w:val="7F627FAC"/>
    <w:rsid w:val="7FD10E97"/>
    <w:rsid w:val="FE9DE55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5"/>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6"/>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Date"/>
    <w:basedOn w:val="1"/>
    <w:next w:val="1"/>
    <w:qFormat/>
    <w:uiPriority w:val="0"/>
    <w:pPr>
      <w:ind w:left="100" w:leftChars="2500"/>
    </w:pPr>
  </w:style>
  <w:style w:type="paragraph" w:styleId="5">
    <w:name w:val="Balloon Text"/>
    <w:basedOn w:val="1"/>
    <w:link w:val="14"/>
    <w:qFormat/>
    <w:uiPriority w:val="0"/>
    <w:rPr>
      <w:sz w:val="18"/>
      <w:szCs w:val="18"/>
    </w:rPr>
  </w:style>
  <w:style w:type="paragraph" w:styleId="6">
    <w:name w:val="footer"/>
    <w:basedOn w:val="1"/>
    <w:link w:val="13"/>
    <w:qFormat/>
    <w:uiPriority w:val="99"/>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10">
    <w:name w:val="page number"/>
    <w:basedOn w:val="9"/>
    <w:qFormat/>
    <w:uiPriority w:val="0"/>
  </w:style>
  <w:style w:type="character" w:styleId="11">
    <w:name w:val="Emphasis"/>
    <w:qFormat/>
    <w:uiPriority w:val="0"/>
    <w:rPr>
      <w:color w:val="CC0000"/>
    </w:rPr>
  </w:style>
  <w:style w:type="paragraph" w:customStyle="1" w:styleId="12">
    <w:name w:val="Char Char Char Char Char Char Char"/>
    <w:basedOn w:val="1"/>
    <w:qFormat/>
    <w:uiPriority w:val="0"/>
  </w:style>
  <w:style w:type="character" w:customStyle="1" w:styleId="13">
    <w:name w:val="页脚 Char"/>
    <w:link w:val="6"/>
    <w:qFormat/>
    <w:uiPriority w:val="99"/>
    <w:rPr>
      <w:kern w:val="2"/>
      <w:sz w:val="18"/>
      <w:szCs w:val="18"/>
    </w:rPr>
  </w:style>
  <w:style w:type="character" w:customStyle="1" w:styleId="14">
    <w:name w:val="批注框文本 Char"/>
    <w:link w:val="5"/>
    <w:qFormat/>
    <w:uiPriority w:val="0"/>
    <w:rPr>
      <w:kern w:val="2"/>
      <w:sz w:val="18"/>
      <w:szCs w:val="18"/>
    </w:rPr>
  </w:style>
  <w:style w:type="character" w:customStyle="1" w:styleId="15">
    <w:name w:val="标题 1 Char"/>
    <w:basedOn w:val="9"/>
    <w:link w:val="2"/>
    <w:qFormat/>
    <w:uiPriority w:val="0"/>
    <w:rPr>
      <w:rFonts w:ascii="Calibri" w:hAnsi="Calibri" w:eastAsia="宋体" w:cs="Times New Roman"/>
      <w:b/>
      <w:bCs/>
      <w:kern w:val="44"/>
      <w:sz w:val="44"/>
      <w:szCs w:val="44"/>
    </w:rPr>
  </w:style>
  <w:style w:type="character" w:customStyle="1" w:styleId="16">
    <w:name w:val="标题 2 Char"/>
    <w:basedOn w:val="9"/>
    <w:link w:val="3"/>
    <w:qFormat/>
    <w:uiPriority w:val="0"/>
    <w:rPr>
      <w:rFonts w:asciiTheme="majorHAnsi" w:hAnsiTheme="majorHAnsi" w:eastAsiaTheme="majorEastAsia" w:cstheme="maj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Company>
  <Pages>16</Pages>
  <Words>7035</Words>
  <Characters>719</Characters>
  <Lines>5</Lines>
  <Paragraphs>15</Paragraphs>
  <TotalTime>124</TotalTime>
  <ScaleCrop>false</ScaleCrop>
  <LinksUpToDate>false</LinksUpToDate>
  <CharactersWithSpaces>7739</CharactersWithSpaces>
  <Application>WPS Office_11.8.2.10290_F1E327BC-269C-435d-A152-05C5408002CA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2022-07-14T22:51:00Z</dcterms:created>
  <dc:creator>吴青</dc:creator>
  <cp:lastModifiedBy>user</cp:lastModifiedBy>
  <cp:lastPrinted>2021-09-14T14:29:00Z</cp:lastPrinted>
  <dcterms:modified xsi:type="dcterms:W3CDTF">2022-11-23T11:34:16Z</dcterms:modified>
  <dc:subject>事故</dc:subject>
  <dc:title>上海高新建设开发有限公司“12.24”灼烫死亡事故调查报告</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2052-11.8.2.10290</vt:lpwstr>
  </property>
</Properties>
</file>